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0B12" w:rsidRPr="00AF7326" w:rsidRDefault="00560B12" w:rsidP="001C51E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color w:val="0D0D0D" w:themeColor="text1" w:themeTint="F2"/>
          <w:sz w:val="28"/>
          <w:szCs w:val="28"/>
          <w:lang w:val="ru-RU"/>
        </w:rPr>
      </w:pPr>
      <w:r w:rsidRPr="00AF7326">
        <w:rPr>
          <w:color w:val="0D0D0D" w:themeColor="text1" w:themeTint="F2"/>
          <w:sz w:val="28"/>
          <w:szCs w:val="28"/>
          <w:lang w:val="ru-RU"/>
        </w:rPr>
        <w:t>ВІДОКРЕМЛЕНИЙ СТРУКТУРНИЙ ПІДРОЗДІЛ ЗАКЛАДУ ВИЩОЇ ОСВІТИ «ВІДКРИТИЙ МІЖНАРОДНИЙ УНІВЕРСИТЕТ РОЗВИТКУ ЛЮДИНИ «УКРАЇНА»</w:t>
      </w:r>
    </w:p>
    <w:p w:rsidR="00560B12" w:rsidRPr="00AF7326" w:rsidRDefault="00560B12" w:rsidP="00EC320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rPr>
          <w:color w:val="0D0D0D" w:themeColor="text1" w:themeTint="F2"/>
          <w:sz w:val="28"/>
          <w:szCs w:val="28"/>
          <w:lang w:val="ru-RU"/>
        </w:rPr>
      </w:pPr>
      <w:r w:rsidRPr="00AF7326">
        <w:rPr>
          <w:color w:val="0D0D0D" w:themeColor="text1" w:themeTint="F2"/>
          <w:sz w:val="28"/>
          <w:szCs w:val="28"/>
          <w:lang w:val="ru-RU"/>
        </w:rPr>
        <w:t>ЖИТОМИРСЬКИЙ ЕКОНОМІКО-ГУМАНІТАРНИЙ ІНСТИТУТ</w:t>
      </w:r>
    </w:p>
    <w:p w:rsidR="00560B12" w:rsidRDefault="00560B12" w:rsidP="00AF732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D0D0D" w:themeColor="text1" w:themeTint="F2"/>
          <w:sz w:val="28"/>
          <w:szCs w:val="28"/>
          <w:lang w:val="ru-RU"/>
        </w:rPr>
      </w:pPr>
      <w:r w:rsidRPr="00AF7326">
        <w:rPr>
          <w:color w:val="0D0D0D" w:themeColor="text1" w:themeTint="F2"/>
          <w:sz w:val="28"/>
          <w:szCs w:val="28"/>
          <w:lang w:val="ru-RU"/>
        </w:rPr>
        <w:t xml:space="preserve">КАФЕДРА </w:t>
      </w:r>
      <w:r w:rsidR="00EC3204">
        <w:rPr>
          <w:color w:val="0D0D0D" w:themeColor="text1" w:themeTint="F2"/>
          <w:sz w:val="28"/>
          <w:szCs w:val="28"/>
          <w:lang w:val="ru-RU"/>
        </w:rPr>
        <w:t>СОЦІАЛЬНО – РЕАБІЛІТАЦІЙНИХ ТЕХНОЛОГІЙ</w:t>
      </w:r>
    </w:p>
    <w:p w:rsidR="00EC3204" w:rsidRPr="00AF7326" w:rsidRDefault="00EC3204" w:rsidP="00AF732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560B12" w:rsidRPr="00AF7326" w:rsidRDefault="00560B12" w:rsidP="00AF732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color w:val="0D0D0D" w:themeColor="text1" w:themeTint="F2"/>
          <w:sz w:val="28"/>
          <w:szCs w:val="28"/>
          <w:lang w:val="ru-RU"/>
        </w:rPr>
      </w:pPr>
      <w:r w:rsidRPr="00AF7326">
        <w:rPr>
          <w:b/>
          <w:color w:val="0D0D0D" w:themeColor="text1" w:themeTint="F2"/>
          <w:sz w:val="28"/>
          <w:szCs w:val="28"/>
          <w:lang w:val="ru-RU"/>
        </w:rPr>
        <w:t xml:space="preserve">                                                  КУРСОВА РОБОТА</w:t>
      </w:r>
    </w:p>
    <w:p w:rsidR="00560B12" w:rsidRPr="00EC3204" w:rsidRDefault="00560B12" w:rsidP="00AF732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color w:val="000000" w:themeColor="text1"/>
          <w:sz w:val="28"/>
          <w:szCs w:val="28"/>
          <w:lang w:val="ru-RU"/>
        </w:rPr>
      </w:pPr>
      <w:r w:rsidRPr="00AF7326">
        <w:rPr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color w:val="0D0D0D" w:themeColor="text1" w:themeTint="F2"/>
          <w:sz w:val="28"/>
          <w:szCs w:val="28"/>
          <w:lang w:val="ru-RU"/>
        </w:rPr>
        <w:t>навчальної</w:t>
      </w:r>
      <w:proofErr w:type="spellEnd"/>
      <w:r w:rsidRPr="00AF7326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color w:val="0D0D0D" w:themeColor="text1" w:themeTint="F2"/>
          <w:sz w:val="28"/>
          <w:szCs w:val="28"/>
          <w:lang w:val="ru-RU"/>
        </w:rPr>
        <w:t>дисципліни</w:t>
      </w:r>
      <w:proofErr w:type="spellEnd"/>
      <w:r w:rsidRPr="00AF7326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AF7326">
        <w:rPr>
          <w:color w:val="0D0D0D" w:themeColor="text1" w:themeTint="F2"/>
          <w:sz w:val="28"/>
          <w:szCs w:val="28"/>
          <w:lang w:val="ru-RU"/>
        </w:rPr>
        <w:t xml:space="preserve">« </w:t>
      </w:r>
      <w:proofErr w:type="spellStart"/>
      <w:r w:rsidRPr="00AF7326">
        <w:rPr>
          <w:color w:val="0D0D0D" w:themeColor="text1" w:themeTint="F2"/>
          <w:sz w:val="28"/>
          <w:szCs w:val="28"/>
          <w:lang w:val="ru-RU"/>
        </w:rPr>
        <w:t>Методи</w:t>
      </w:r>
      <w:proofErr w:type="spellEnd"/>
      <w:proofErr w:type="gramEnd"/>
      <w:r w:rsidRPr="00AF7326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color w:val="0D0D0D" w:themeColor="text1" w:themeTint="F2"/>
          <w:sz w:val="28"/>
          <w:szCs w:val="28"/>
          <w:lang w:val="ru-RU"/>
        </w:rPr>
        <w:t xml:space="preserve"> і </w:t>
      </w:r>
      <w:r w:rsidRPr="00AF7326">
        <w:rPr>
          <w:color w:val="0D0D0D" w:themeColor="text1" w:themeTint="F2"/>
          <w:sz w:val="28"/>
          <w:szCs w:val="28"/>
          <w:lang w:val="uk-UA"/>
        </w:rPr>
        <w:t xml:space="preserve">система організацій </w:t>
      </w:r>
      <w:r w:rsidRPr="00EC3204">
        <w:rPr>
          <w:color w:val="000000" w:themeColor="text1"/>
          <w:sz w:val="28"/>
          <w:szCs w:val="28"/>
          <w:lang w:val="uk-UA"/>
        </w:rPr>
        <w:t>соціальної сфери (Система організацій соціальної сфери)</w:t>
      </w:r>
      <w:r w:rsidRPr="00EC3204">
        <w:rPr>
          <w:color w:val="000000" w:themeColor="text1"/>
          <w:sz w:val="28"/>
          <w:szCs w:val="28"/>
          <w:lang w:val="ru-RU"/>
        </w:rPr>
        <w:t xml:space="preserve">» </w:t>
      </w:r>
    </w:p>
    <w:p w:rsidR="00560B12" w:rsidRPr="00EC3204" w:rsidRDefault="00560B12" w:rsidP="00AF732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b/>
          <w:color w:val="000000" w:themeColor="text1"/>
          <w:sz w:val="28"/>
          <w:szCs w:val="28"/>
          <w:lang w:val="ru-RU"/>
        </w:rPr>
      </w:pPr>
      <w:r w:rsidRPr="00EC3204">
        <w:rPr>
          <w:color w:val="000000" w:themeColor="text1"/>
          <w:sz w:val="28"/>
          <w:szCs w:val="28"/>
          <w:lang w:val="ru-RU"/>
        </w:rPr>
        <w:t xml:space="preserve">на тему </w:t>
      </w:r>
      <w:r w:rsidRPr="00EC3204">
        <w:rPr>
          <w:b/>
          <w:color w:val="000000" w:themeColor="text1"/>
          <w:sz w:val="28"/>
          <w:szCs w:val="28"/>
          <w:lang w:val="ru-RU"/>
        </w:rPr>
        <w:t xml:space="preserve">Система </w:t>
      </w:r>
      <w:proofErr w:type="spellStart"/>
      <w:r w:rsidRPr="00EC3204">
        <w:rPr>
          <w:b/>
          <w:color w:val="000000" w:themeColor="text1"/>
          <w:sz w:val="28"/>
          <w:szCs w:val="28"/>
          <w:lang w:val="ru-RU"/>
        </w:rPr>
        <w:t>організацій</w:t>
      </w:r>
      <w:proofErr w:type="spellEnd"/>
      <w:r w:rsidRPr="00EC3204">
        <w:rPr>
          <w:b/>
          <w:color w:val="000000" w:themeColor="text1"/>
          <w:sz w:val="28"/>
          <w:szCs w:val="28"/>
          <w:lang w:val="ru-RU"/>
        </w:rPr>
        <w:t xml:space="preserve"> служб, </w:t>
      </w:r>
      <w:proofErr w:type="spellStart"/>
      <w:r w:rsidRPr="00EC3204">
        <w:rPr>
          <w:b/>
          <w:color w:val="000000" w:themeColor="text1"/>
          <w:sz w:val="28"/>
          <w:szCs w:val="28"/>
          <w:lang w:val="ru-RU"/>
        </w:rPr>
        <w:t>що</w:t>
      </w:r>
      <w:proofErr w:type="spellEnd"/>
      <w:r w:rsidRPr="00EC3204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b/>
          <w:color w:val="000000" w:themeColor="text1"/>
          <w:sz w:val="28"/>
          <w:szCs w:val="28"/>
          <w:lang w:val="ru-RU"/>
        </w:rPr>
        <w:t>надають</w:t>
      </w:r>
      <w:proofErr w:type="spellEnd"/>
      <w:r w:rsidRPr="00EC3204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b/>
          <w:color w:val="000000" w:themeColor="text1"/>
          <w:sz w:val="28"/>
          <w:szCs w:val="28"/>
          <w:lang w:val="ru-RU"/>
        </w:rPr>
        <w:t>послуги</w:t>
      </w:r>
      <w:proofErr w:type="spellEnd"/>
      <w:r w:rsidRPr="00EC3204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b/>
          <w:color w:val="000000" w:themeColor="text1"/>
          <w:sz w:val="28"/>
          <w:szCs w:val="28"/>
          <w:lang w:val="ru-RU"/>
        </w:rPr>
        <w:t>жінкам</w:t>
      </w:r>
      <w:proofErr w:type="spellEnd"/>
      <w:r w:rsidRPr="00EC3204">
        <w:rPr>
          <w:b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EC3204">
        <w:rPr>
          <w:b/>
          <w:color w:val="000000" w:themeColor="text1"/>
          <w:sz w:val="28"/>
          <w:szCs w:val="28"/>
          <w:lang w:val="ru-RU"/>
        </w:rPr>
        <w:t>складних</w:t>
      </w:r>
      <w:proofErr w:type="spellEnd"/>
      <w:r w:rsidRPr="00EC3204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b/>
          <w:color w:val="000000" w:themeColor="text1"/>
          <w:sz w:val="28"/>
          <w:szCs w:val="28"/>
          <w:lang w:val="ru-RU"/>
        </w:rPr>
        <w:t>життєвих</w:t>
      </w:r>
      <w:proofErr w:type="spellEnd"/>
      <w:r w:rsidRPr="00EC3204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b/>
          <w:color w:val="000000" w:themeColor="text1"/>
          <w:sz w:val="28"/>
          <w:szCs w:val="28"/>
          <w:lang w:val="ru-RU"/>
        </w:rPr>
        <w:t>обставинах</w:t>
      </w:r>
      <w:proofErr w:type="spellEnd"/>
    </w:p>
    <w:p w:rsidR="001C51EE" w:rsidRDefault="001C51EE" w:rsidP="00AF732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b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b/>
          <w:color w:val="0D0D0D" w:themeColor="text1" w:themeTint="F2"/>
          <w:sz w:val="28"/>
          <w:szCs w:val="28"/>
          <w:lang w:val="ru-RU"/>
        </w:rPr>
      </w:pPr>
    </w:p>
    <w:p w:rsidR="001C51EE" w:rsidRPr="00AF7326" w:rsidRDefault="001C51EE" w:rsidP="00AF732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b/>
          <w:color w:val="0D0D0D" w:themeColor="text1" w:themeTint="F2"/>
          <w:sz w:val="28"/>
          <w:szCs w:val="28"/>
          <w:lang w:val="uk-UA"/>
        </w:rPr>
      </w:pPr>
    </w:p>
    <w:p w:rsidR="00560B12" w:rsidRPr="00AF7326" w:rsidRDefault="00560B12" w:rsidP="001C51E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right"/>
        <w:rPr>
          <w:color w:val="0D0D0D" w:themeColor="text1" w:themeTint="F2"/>
          <w:sz w:val="28"/>
          <w:szCs w:val="28"/>
          <w:lang w:val="uk-UA"/>
        </w:rPr>
      </w:pPr>
      <w:r w:rsidRPr="00AF7326">
        <w:rPr>
          <w:color w:val="0D0D0D" w:themeColor="text1" w:themeTint="F2"/>
          <w:sz w:val="28"/>
          <w:szCs w:val="28"/>
          <w:lang w:val="uk-UA"/>
        </w:rPr>
        <w:t xml:space="preserve">                                               Здобувачки  освіти 2 курсу  ЗСР -22-1</w:t>
      </w:r>
      <w:r w:rsidRPr="00AF7326">
        <w:rPr>
          <w:color w:val="0D0D0D" w:themeColor="text1" w:themeTint="F2"/>
          <w:sz w:val="28"/>
          <w:szCs w:val="28"/>
        </w:rPr>
        <w:t>zh</w:t>
      </w:r>
      <w:r w:rsidRPr="00AF7326">
        <w:rPr>
          <w:color w:val="0D0D0D" w:themeColor="text1" w:themeTint="F2"/>
          <w:sz w:val="28"/>
          <w:szCs w:val="28"/>
          <w:lang w:val="uk-UA"/>
        </w:rPr>
        <w:t xml:space="preserve"> групи спеціальності 231 «Соціальна робота»</w:t>
      </w:r>
    </w:p>
    <w:p w:rsidR="00560B12" w:rsidRPr="00AF7326" w:rsidRDefault="00560B12" w:rsidP="001C51E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lang w:val="uk-UA"/>
        </w:rPr>
      </w:pPr>
      <w:r w:rsidRPr="00AF7326">
        <w:rPr>
          <w:b/>
          <w:color w:val="0D0D0D" w:themeColor="text1" w:themeTint="F2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Pr="00AF7326">
        <w:rPr>
          <w:b/>
          <w:color w:val="0D0D0D" w:themeColor="text1" w:themeTint="F2"/>
          <w:sz w:val="28"/>
          <w:szCs w:val="28"/>
          <w:lang w:val="uk-UA"/>
        </w:rPr>
        <w:t>Більдюкевич</w:t>
      </w:r>
      <w:proofErr w:type="spellEnd"/>
      <w:r w:rsidRPr="00AF7326">
        <w:rPr>
          <w:b/>
          <w:color w:val="0D0D0D" w:themeColor="text1" w:themeTint="F2"/>
          <w:sz w:val="28"/>
          <w:szCs w:val="28"/>
          <w:lang w:val="uk-UA"/>
        </w:rPr>
        <w:t xml:space="preserve"> Валентина Анатоліївна</w:t>
      </w:r>
    </w:p>
    <w:p w:rsidR="00560B12" w:rsidRPr="00AF7326" w:rsidRDefault="00560B12" w:rsidP="001C51E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right"/>
        <w:rPr>
          <w:color w:val="0D0D0D" w:themeColor="text1" w:themeTint="F2"/>
          <w:sz w:val="28"/>
          <w:szCs w:val="28"/>
          <w:lang w:val="uk-UA"/>
        </w:rPr>
      </w:pPr>
      <w:r w:rsidRPr="00AF7326">
        <w:rPr>
          <w:color w:val="0D0D0D" w:themeColor="text1" w:themeTint="F2"/>
          <w:sz w:val="28"/>
          <w:szCs w:val="28"/>
          <w:lang w:val="uk-UA"/>
        </w:rPr>
        <w:t xml:space="preserve">             Керівник __</w:t>
      </w:r>
      <w:r w:rsidR="00921AC0" w:rsidRPr="00AF7326">
        <w:rPr>
          <w:color w:val="0D0D0D" w:themeColor="text1" w:themeTint="F2"/>
          <w:sz w:val="28"/>
          <w:szCs w:val="28"/>
          <w:lang w:val="uk-UA"/>
        </w:rPr>
        <w:t>Костюшко</w:t>
      </w:r>
      <w:r w:rsidRPr="00AF7326">
        <w:rPr>
          <w:color w:val="0D0D0D" w:themeColor="text1" w:themeTint="F2"/>
          <w:sz w:val="28"/>
          <w:szCs w:val="28"/>
          <w:lang w:val="uk-UA"/>
        </w:rPr>
        <w:t xml:space="preserve"> Ю.О. </w:t>
      </w:r>
      <w:r w:rsidR="00921AC0" w:rsidRPr="00AF7326">
        <w:rPr>
          <w:color w:val="0D0D0D" w:themeColor="text1" w:themeTint="F2"/>
          <w:sz w:val="28"/>
          <w:szCs w:val="28"/>
          <w:lang w:val="uk-UA"/>
        </w:rPr>
        <w:br/>
      </w:r>
      <w:proofErr w:type="spellStart"/>
      <w:r w:rsidR="00921AC0" w:rsidRPr="00AF7326">
        <w:rPr>
          <w:color w:val="0D0D0D" w:themeColor="text1" w:themeTint="F2"/>
          <w:sz w:val="28"/>
          <w:szCs w:val="28"/>
          <w:lang w:val="uk-UA"/>
        </w:rPr>
        <w:t>Кандидант</w:t>
      </w:r>
      <w:proofErr w:type="spellEnd"/>
      <w:r w:rsidR="00921AC0" w:rsidRPr="00AF7326">
        <w:rPr>
          <w:color w:val="0D0D0D" w:themeColor="text1" w:themeTint="F2"/>
          <w:sz w:val="28"/>
          <w:szCs w:val="28"/>
          <w:lang w:val="uk-UA"/>
        </w:rPr>
        <w:t xml:space="preserve"> педагогічних наук, доцент___________</w:t>
      </w:r>
      <w:r w:rsidRPr="00AF7326">
        <w:rPr>
          <w:color w:val="0D0D0D" w:themeColor="text1" w:themeTint="F2"/>
          <w:sz w:val="28"/>
          <w:szCs w:val="28"/>
          <w:lang w:val="uk-UA"/>
        </w:rPr>
        <w:t xml:space="preserve"> (посада, вчене звання, науковий ступінь, прізвище та ініціали) </w:t>
      </w:r>
    </w:p>
    <w:p w:rsidR="00560B12" w:rsidRPr="00AF7326" w:rsidRDefault="00560B12" w:rsidP="001C51E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right"/>
        <w:rPr>
          <w:color w:val="0D0D0D" w:themeColor="text1" w:themeTint="F2"/>
          <w:sz w:val="28"/>
          <w:szCs w:val="28"/>
          <w:lang w:val="uk-UA"/>
        </w:rPr>
      </w:pPr>
      <w:r w:rsidRPr="00AF7326">
        <w:rPr>
          <w:color w:val="0D0D0D" w:themeColor="text1" w:themeTint="F2"/>
          <w:sz w:val="28"/>
          <w:szCs w:val="28"/>
          <w:lang w:val="uk-UA"/>
        </w:rPr>
        <w:t xml:space="preserve">Національна шкала _____________________________ Кількість балів:__________ Оцінка: </w:t>
      </w:r>
      <w:r w:rsidRPr="00AF7326">
        <w:rPr>
          <w:color w:val="0D0D0D" w:themeColor="text1" w:themeTint="F2"/>
          <w:sz w:val="28"/>
          <w:szCs w:val="28"/>
        </w:rPr>
        <w:t>ECTS</w:t>
      </w:r>
      <w:r w:rsidRPr="00AF7326">
        <w:rPr>
          <w:color w:val="0D0D0D" w:themeColor="text1" w:themeTint="F2"/>
          <w:sz w:val="28"/>
          <w:szCs w:val="28"/>
          <w:lang w:val="uk-UA"/>
        </w:rPr>
        <w:t xml:space="preserve"> _________</w:t>
      </w:r>
    </w:p>
    <w:p w:rsidR="00560B12" w:rsidRPr="00AF7326" w:rsidRDefault="00560B12" w:rsidP="001C51E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right"/>
        <w:rPr>
          <w:color w:val="0D0D0D" w:themeColor="text1" w:themeTint="F2"/>
          <w:sz w:val="28"/>
          <w:szCs w:val="28"/>
          <w:lang w:val="uk-UA"/>
        </w:rPr>
      </w:pPr>
      <w:r w:rsidRPr="00AF7326">
        <w:rPr>
          <w:color w:val="0D0D0D" w:themeColor="text1" w:themeTint="F2"/>
          <w:sz w:val="28"/>
          <w:szCs w:val="28"/>
          <w:lang w:val="uk-UA"/>
        </w:rPr>
        <w:t xml:space="preserve">Члени комісії  </w:t>
      </w:r>
    </w:p>
    <w:p w:rsidR="00560B12" w:rsidRPr="00AF7326" w:rsidRDefault="00560B12" w:rsidP="001C51E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right"/>
        <w:rPr>
          <w:color w:val="0D0D0D" w:themeColor="text1" w:themeTint="F2"/>
          <w:sz w:val="28"/>
          <w:szCs w:val="28"/>
          <w:lang w:val="uk-UA"/>
        </w:rPr>
      </w:pPr>
      <w:r w:rsidRPr="00AF7326">
        <w:rPr>
          <w:color w:val="0D0D0D" w:themeColor="text1" w:themeTint="F2"/>
          <w:sz w:val="28"/>
          <w:szCs w:val="28"/>
          <w:lang w:val="uk-UA"/>
        </w:rPr>
        <w:t xml:space="preserve">                         _______________________(прізвище та ініціали) ______________________</w:t>
      </w:r>
      <w:r w:rsidR="001C51EE">
        <w:rPr>
          <w:color w:val="0D0D0D" w:themeColor="text1" w:themeTint="F2"/>
          <w:sz w:val="28"/>
          <w:szCs w:val="28"/>
          <w:lang w:val="uk-UA"/>
        </w:rPr>
        <w:t>_</w:t>
      </w:r>
      <w:r w:rsidRPr="00AF7326">
        <w:rPr>
          <w:color w:val="0D0D0D" w:themeColor="text1" w:themeTint="F2"/>
          <w:sz w:val="28"/>
          <w:szCs w:val="28"/>
          <w:lang w:val="uk-UA"/>
        </w:rPr>
        <w:t>(прізвище та ініціали) _______________________(прізвище та ініціал</w:t>
      </w:r>
      <w:r w:rsidR="001C51EE">
        <w:rPr>
          <w:color w:val="0D0D0D" w:themeColor="text1" w:themeTint="F2"/>
          <w:sz w:val="28"/>
          <w:szCs w:val="28"/>
          <w:lang w:val="uk-UA"/>
        </w:rPr>
        <w:t>и)</w:t>
      </w:r>
    </w:p>
    <w:p w:rsidR="00560B12" w:rsidRPr="00AF7326" w:rsidRDefault="00560B12" w:rsidP="00AF732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560B12" w:rsidRPr="00AF7326" w:rsidRDefault="00560B12" w:rsidP="001C51EE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center"/>
        <w:rPr>
          <w:color w:val="0D0D0D" w:themeColor="text1" w:themeTint="F2"/>
          <w:sz w:val="28"/>
          <w:szCs w:val="28"/>
          <w:lang w:val="uk-UA"/>
        </w:rPr>
      </w:pPr>
      <w:r w:rsidRPr="00AF7326">
        <w:rPr>
          <w:color w:val="0D0D0D" w:themeColor="text1" w:themeTint="F2"/>
          <w:sz w:val="28"/>
          <w:szCs w:val="28"/>
          <w:lang w:val="uk-UA"/>
        </w:rPr>
        <w:t>м. Житомир – 2024 рік</w:t>
      </w:r>
    </w:p>
    <w:p w:rsidR="00014442" w:rsidRDefault="00014442" w:rsidP="00AF732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1C51EE" w:rsidRDefault="001C51EE" w:rsidP="00AF732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EC3204" w:rsidRDefault="00EC3204" w:rsidP="00AF732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1C51EE" w:rsidRPr="00AF7326" w:rsidRDefault="001C51EE" w:rsidP="00AF732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color w:val="0D0D0D" w:themeColor="text1" w:themeTint="F2"/>
          <w:sz w:val="28"/>
          <w:szCs w:val="28"/>
          <w:lang w:val="uk-UA"/>
        </w:rPr>
      </w:pPr>
    </w:p>
    <w:p w:rsidR="00014442" w:rsidRPr="00AF7326" w:rsidRDefault="00EC3204" w:rsidP="00EC320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lastRenderedPageBreak/>
        <w:t>ЗМІСТ</w:t>
      </w:r>
    </w:p>
    <w:p w:rsidR="00014442" w:rsidRPr="00AF7326" w:rsidRDefault="00014442" w:rsidP="00EC3204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ВСТУП</w:t>
      </w:r>
      <w:r w:rsidR="00EC320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…………………………………………………………………………</w:t>
      </w:r>
      <w:proofErr w:type="gramStart"/>
      <w:r w:rsidR="00EC320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…….</w:t>
      </w:r>
      <w:proofErr w:type="gramEnd"/>
      <w:r w:rsidR="00EC320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3</w:t>
      </w:r>
    </w:p>
    <w:p w:rsidR="00014442" w:rsidRPr="00EC3204" w:rsidRDefault="00014442" w:rsidP="00EC3204">
      <w:pPr>
        <w:spacing w:after="0" w:line="360" w:lineRule="auto"/>
        <w:jc w:val="both"/>
        <w:rPr>
          <w:rFonts w:ascii="Times New Roman" w:hAnsi="Times New Roman" w:cs="Times New Roman"/>
          <w:bCs/>
          <w:caps/>
          <w:color w:val="0D0D0D" w:themeColor="text1" w:themeTint="F2"/>
          <w:sz w:val="28"/>
          <w:szCs w:val="28"/>
          <w:lang w:val="ru-RU"/>
        </w:rPr>
      </w:pPr>
      <w:r w:rsidRPr="00EC320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РОЗДІЛ1.</w:t>
      </w:r>
      <w:r w:rsidRPr="00EC320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ru-RU"/>
        </w:rPr>
        <w:t>Нормативно-правове підгрунтя соціальної роботи з жінками</w:t>
      </w:r>
      <w:r w:rsidR="00EC3204" w:rsidRPr="00EC320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ru-RU"/>
        </w:rPr>
        <w:t>……………………………………………………………6</w:t>
      </w:r>
    </w:p>
    <w:p w:rsidR="00014442" w:rsidRPr="00EC3204" w:rsidRDefault="00014442" w:rsidP="00EC3204">
      <w:pPr>
        <w:spacing w:after="0"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</w:pPr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1.</w:t>
      </w:r>
      <w:proofErr w:type="gram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1.Гендерні</w:t>
      </w:r>
      <w:proofErr w:type="gram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аспекти</w:t>
      </w:r>
      <w:proofErr w:type="spellEnd"/>
      <w:r w:rsid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…………………………………………………………………6</w:t>
      </w:r>
    </w:p>
    <w:p w:rsidR="00014442" w:rsidRPr="00EC3204" w:rsidRDefault="00014442" w:rsidP="00EC3204">
      <w:pPr>
        <w:spacing w:after="0"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</w:pPr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1.</w:t>
      </w:r>
      <w:proofErr w:type="gram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2.Дослідження</w:t>
      </w:r>
      <w:proofErr w:type="gram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гендерну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тематику в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…………………………………..8</w:t>
      </w:r>
    </w:p>
    <w:p w:rsidR="00014442" w:rsidRPr="00EC3204" w:rsidRDefault="00014442" w:rsidP="00EC3204">
      <w:pPr>
        <w:spacing w:after="0"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</w:pPr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1.</w:t>
      </w:r>
      <w:proofErr w:type="gram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3.Державна</w:t>
      </w:r>
      <w:proofErr w:type="gram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політика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……………………………………….10</w:t>
      </w:r>
    </w:p>
    <w:p w:rsidR="00014442" w:rsidRPr="00EC3204" w:rsidRDefault="00014442" w:rsidP="00EC3204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EC320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РОЗДІЛ 2. </w:t>
      </w:r>
      <w:r w:rsidRPr="00EC320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ru-RU"/>
        </w:rPr>
        <w:t>Система соціальних служб в Україні</w:t>
      </w:r>
      <w:r w:rsidR="00EC320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ru-RU"/>
        </w:rPr>
        <w:t>…………</w:t>
      </w:r>
      <w:proofErr w:type="gramStart"/>
      <w:r w:rsidR="00EC320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ru-RU"/>
        </w:rPr>
        <w:t>…….</w:t>
      </w:r>
      <w:proofErr w:type="gramEnd"/>
      <w:r w:rsidR="00EC320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ru-RU"/>
        </w:rPr>
        <w:t>.13</w:t>
      </w:r>
    </w:p>
    <w:p w:rsidR="00014442" w:rsidRPr="00EC3204" w:rsidRDefault="00014442" w:rsidP="00EC3204">
      <w:pPr>
        <w:spacing w:after="0"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</w:pPr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2.1.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Загальна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характеристика </w:t>
      </w:r>
      <w:proofErr w:type="spellStart"/>
      <w:proofErr w:type="gram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системи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proofErr w:type="gram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служб в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r w:rsid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……………13</w:t>
      </w:r>
    </w:p>
    <w:p w:rsidR="00014442" w:rsidRPr="00EC3204" w:rsidRDefault="00014442" w:rsidP="00EC3204">
      <w:pPr>
        <w:spacing w:after="0"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</w:pPr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2.2. Мережа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proofErr w:type="gram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спеціалізованих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формувань</w:t>
      </w:r>
      <w:proofErr w:type="spellEnd"/>
      <w:proofErr w:type="gram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…………………15</w:t>
      </w:r>
    </w:p>
    <w:p w:rsidR="00014442" w:rsidRPr="00EC3204" w:rsidRDefault="00014442" w:rsidP="00EC3204">
      <w:pPr>
        <w:spacing w:after="0" w:line="360" w:lineRule="auto"/>
        <w:jc w:val="both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ru-RU"/>
        </w:rPr>
      </w:pPr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r w:rsidRPr="00EC320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ru-RU"/>
        </w:rPr>
        <w:t>РОЗДІЛ 3. Соціальна робота з жінками</w:t>
      </w:r>
      <w:r w:rsidR="00EC3204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  <w:lang w:val="ru-RU"/>
        </w:rPr>
        <w:t>……………………………19</w:t>
      </w:r>
    </w:p>
    <w:p w:rsidR="00014442" w:rsidRPr="00EC3204" w:rsidRDefault="00014442" w:rsidP="00EC3204">
      <w:pPr>
        <w:spacing w:after="0"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</w:pPr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3.</w:t>
      </w:r>
      <w:proofErr w:type="gram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1.Соціальна</w:t>
      </w:r>
      <w:proofErr w:type="gram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робота з одинокими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……………………………………...19</w:t>
      </w:r>
    </w:p>
    <w:p w:rsidR="00014442" w:rsidRPr="00EC3204" w:rsidRDefault="00014442" w:rsidP="00EC3204">
      <w:pPr>
        <w:spacing w:after="0"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</w:pPr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3.</w:t>
      </w:r>
      <w:proofErr w:type="gram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2.Соціальні</w:t>
      </w:r>
      <w:proofErr w:type="gram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за кордоном</w:t>
      </w:r>
      <w:r w:rsid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…………………………………….21</w:t>
      </w:r>
    </w:p>
    <w:p w:rsidR="00014442" w:rsidRPr="00EC3204" w:rsidRDefault="00014442" w:rsidP="00EC3204">
      <w:pPr>
        <w:spacing w:after="0"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</w:pPr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3.3.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Запровадження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закордоного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досвіду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…………29</w:t>
      </w:r>
    </w:p>
    <w:p w:rsidR="00014442" w:rsidRDefault="00014442" w:rsidP="00EC3204">
      <w:pPr>
        <w:spacing w:after="0"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</w:pPr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3.4. Закон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«Про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» про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фінансування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 xml:space="preserve"> послуг</w:t>
      </w:r>
      <w:r w:rsidR="00EC3204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ru-RU"/>
        </w:rPr>
        <w:t>.......................................................................................................37</w:t>
      </w:r>
    </w:p>
    <w:p w:rsidR="00014442" w:rsidRPr="00EC3204" w:rsidRDefault="00014442" w:rsidP="00EC3204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EC320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ВИСНОВОК</w:t>
      </w:r>
      <w:r w:rsidR="00EC320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…………………………………………………………</w:t>
      </w:r>
      <w:proofErr w:type="gramStart"/>
      <w:r w:rsidR="00EC320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…….</w:t>
      </w:r>
      <w:proofErr w:type="gramEnd"/>
      <w:r w:rsidR="00EC320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……….41</w:t>
      </w:r>
    </w:p>
    <w:p w:rsidR="00014442" w:rsidRPr="00EC3204" w:rsidRDefault="00EC3204" w:rsidP="00EC3204">
      <w:pPr>
        <w:keepNext/>
        <w:keepLines/>
        <w:spacing w:after="0" w:line="360" w:lineRule="auto"/>
        <w:jc w:val="both"/>
        <w:outlineLvl w:val="3"/>
        <w:rPr>
          <w:rFonts w:ascii="Times New Roman" w:eastAsia="Arial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EC3204">
        <w:rPr>
          <w:rFonts w:ascii="Times New Roman" w:eastAsia="Arial" w:hAnsi="Times New Roman" w:cs="Times New Roman"/>
          <w:b/>
          <w:color w:val="0D0D0D" w:themeColor="text1" w:themeTint="F2"/>
          <w:sz w:val="28"/>
          <w:szCs w:val="28"/>
          <w:lang w:val="ru-RU"/>
        </w:rPr>
        <w:t>СПИСОК ВИКОРИСТАНИХ ДЖЕРЕЛ</w:t>
      </w:r>
      <w:r>
        <w:rPr>
          <w:rFonts w:ascii="Times New Roman" w:eastAsia="Arial" w:hAnsi="Times New Roman" w:cs="Times New Roman"/>
          <w:b/>
          <w:color w:val="0D0D0D" w:themeColor="text1" w:themeTint="F2"/>
          <w:sz w:val="28"/>
          <w:szCs w:val="28"/>
          <w:lang w:val="ru-RU"/>
        </w:rPr>
        <w:t>…………………………………</w:t>
      </w:r>
      <w:proofErr w:type="gramStart"/>
      <w:r>
        <w:rPr>
          <w:rFonts w:ascii="Times New Roman" w:eastAsia="Arial" w:hAnsi="Times New Roman" w:cs="Times New Roman"/>
          <w:b/>
          <w:color w:val="0D0D0D" w:themeColor="text1" w:themeTint="F2"/>
          <w:sz w:val="28"/>
          <w:szCs w:val="28"/>
          <w:lang w:val="ru-RU"/>
        </w:rPr>
        <w:t>…….</w:t>
      </w:r>
      <w:proofErr w:type="gramEnd"/>
      <w:r>
        <w:rPr>
          <w:rFonts w:ascii="Times New Roman" w:eastAsia="Arial" w:hAnsi="Times New Roman" w:cs="Times New Roman"/>
          <w:b/>
          <w:color w:val="0D0D0D" w:themeColor="text1" w:themeTint="F2"/>
          <w:sz w:val="28"/>
          <w:szCs w:val="28"/>
          <w:lang w:val="ru-RU"/>
        </w:rPr>
        <w:t>43</w:t>
      </w:r>
    </w:p>
    <w:p w:rsidR="00560B12" w:rsidRPr="00AF7326" w:rsidRDefault="00560B1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014442" w:rsidRPr="00AF7326" w:rsidRDefault="0001444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014442" w:rsidRPr="00AF7326" w:rsidRDefault="0001444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014442" w:rsidRPr="00AF7326" w:rsidRDefault="0001444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014442" w:rsidRPr="00AF7326" w:rsidRDefault="0001444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014442" w:rsidRPr="00AF7326" w:rsidRDefault="0001444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014442" w:rsidRPr="00AF7326" w:rsidRDefault="0001444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014442" w:rsidRPr="00AF7326" w:rsidRDefault="0001444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014442" w:rsidRPr="00AF7326" w:rsidRDefault="0001444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014442" w:rsidRPr="00AF7326" w:rsidRDefault="0001444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560B12" w:rsidRPr="00AF7326" w:rsidRDefault="00560B12" w:rsidP="00AF732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 w:rsidRPr="00AF732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lastRenderedPageBreak/>
        <w:t>ВСТУП</w:t>
      </w:r>
    </w:p>
    <w:p w:rsidR="00AF7326" w:rsidRPr="00AF7326" w:rsidRDefault="00560B1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Актуальність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теми</w:t>
      </w:r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останні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роки в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суспільно-політичному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економічному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культурному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відбулися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значні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зміни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усвідомлення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суспільстві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актуальності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і проблем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структур,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фондів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багатьох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неурядових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спрямованих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поліпшення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становища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). </w:t>
      </w:r>
    </w:p>
    <w:p w:rsidR="00AF7326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Роль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української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об'єктивно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зростає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становлять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значну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частину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Але,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незважаючи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досягнення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сьогодні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залишаються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незахищеними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їхнє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сповнене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безлічі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вразливими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групами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галузі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охорони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здоров'я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підвищення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обізнаності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додаткових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цілому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скорочення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факторами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сталого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робота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важливим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напрямком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Принцип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профілактики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враховує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соціокультурні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психофізіологічні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особливості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ведення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отримав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все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AF7326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завдання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опіки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над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зазвичай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виконуються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фахівцями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спільно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співробітниками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сфер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комплексу, таких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правоохоронні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зайнятості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медичні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установи.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Актуальний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практико-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орієнтований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зміст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працівника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ефективною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формою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дотримання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принципу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Зрештою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принципи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справедливості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ключовими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AF7326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працівники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виступають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провідниками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змін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окремих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людей,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отже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провідниками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змін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суспільстві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цілому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той же час,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своєї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вони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прагнуть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усунути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дискримінації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грунтуючись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статтях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залежать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перспективи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антидискримінаційних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справедливості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</w:p>
    <w:p w:rsidR="00AF7326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невід'ємною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частиною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будь-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Суть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найбільш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вразливих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верств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полягає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державою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найбільш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вразливим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верствам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заходів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здійснюваних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органами,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бюджетних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видатків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: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громадянам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постраждали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внаслідок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Чорнобильської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катастрофи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додаток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малозабезпечених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багатодітні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учасники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бойових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матері-одиначки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люди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особливими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потребами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тощо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категорії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назвати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пріоритетними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915A9" w:rsidRPr="00AF7326" w:rsidRDefault="00560B1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Мета і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завдання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дослідження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r w:rsidRPr="00AF732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ru-RU"/>
        </w:rPr>
        <w:t>Метою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обраної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мною теми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отримання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наукового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результату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дослідження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інститу</w:t>
      </w:r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ту</w:t>
      </w:r>
      <w:proofErr w:type="spellEnd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аспектів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аналіз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зарубіжного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досвіду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сфері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особливостей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проблем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нормативно-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бази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шляхів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виникають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здійснення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органами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F5A41" w:rsidRPr="00AF7326" w:rsidRDefault="00560B1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обраної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мети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необхідно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наступні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ru-RU"/>
        </w:rPr>
        <w:t>завдання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: ‒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поняттю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«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»; ‒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розглянути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точки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зору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знаряддя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реалізаціцї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системи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‒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окреслити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зарубіжних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країнах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‒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дослідити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основні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пробле</w:t>
      </w:r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</w:t>
      </w:r>
      <w:proofErr w:type="spellEnd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світі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‒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охарактеризувати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особливості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сьогодення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‒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запропонувати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шляхи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подолання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‒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проаналізувати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нормативно-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акти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здійснення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F5A41" w:rsidRPr="00AF7326" w:rsidRDefault="00560B1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lastRenderedPageBreak/>
        <w:t>Обʼєкт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дослідження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‒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відносини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виникають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здійснення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</w:t>
      </w:r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ого</w:t>
      </w:r>
      <w:proofErr w:type="spellEnd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ефективності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шляхів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подолання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виникають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1F5A41" w:rsidRPr="00AF7326" w:rsidRDefault="00560B1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Предмет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дослідження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‒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заса</w:t>
      </w:r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ди </w:t>
      </w:r>
      <w:proofErr w:type="spellStart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F5A41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6B0F33" w:rsidRPr="00AF7326" w:rsidRDefault="00560B1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Методи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дослідження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Обрана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тема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методологічної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точки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зору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належить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вищого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наукового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вона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наукове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так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практичне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отже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дослідження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використані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загальнонаукові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емпіричні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методи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: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аналіз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синтез;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індукція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;</w:t>
      </w:r>
    </w:p>
    <w:p w:rsidR="00106A36" w:rsidRPr="00AF7326" w:rsidRDefault="00106A3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Структура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курсової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="00014442"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– </w:t>
      </w:r>
      <w:r w:rsidR="00014442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робота </w:t>
      </w:r>
      <w:proofErr w:type="spellStart"/>
      <w:r w:rsidR="00014442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складається</w:t>
      </w:r>
      <w:proofErr w:type="spellEnd"/>
      <w:r w:rsidR="00014442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="00014442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вступу</w:t>
      </w:r>
      <w:proofErr w:type="spellEnd"/>
      <w:r w:rsidR="00014442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014442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трьох</w:t>
      </w:r>
      <w:proofErr w:type="spellEnd"/>
      <w:r w:rsidR="00014442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14442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розділів</w:t>
      </w:r>
      <w:proofErr w:type="spellEnd"/>
      <w:r w:rsidR="00014442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014442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висновку</w:t>
      </w:r>
      <w:proofErr w:type="spellEnd"/>
      <w:r w:rsidR="00014442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r w:rsidR="00014442" w:rsidRPr="00AF7326">
        <w:rPr>
          <w:rFonts w:ascii="Times New Roman" w:eastAsia="Arial" w:hAnsi="Times New Roman" w:cs="Times New Roman"/>
          <w:i/>
          <w:color w:val="0D0D0D" w:themeColor="text1" w:themeTint="F2"/>
          <w:sz w:val="28"/>
          <w:szCs w:val="28"/>
          <w:lang w:val="ru-RU"/>
        </w:rPr>
        <w:t xml:space="preserve">списку </w:t>
      </w:r>
      <w:proofErr w:type="spellStart"/>
      <w:r w:rsidR="00014442" w:rsidRPr="00AF7326">
        <w:rPr>
          <w:rFonts w:ascii="Times New Roman" w:eastAsia="Arial" w:hAnsi="Times New Roman" w:cs="Times New Roman"/>
          <w:i/>
          <w:color w:val="0D0D0D" w:themeColor="text1" w:themeTint="F2"/>
          <w:sz w:val="28"/>
          <w:szCs w:val="28"/>
          <w:lang w:val="ru-RU"/>
        </w:rPr>
        <w:t>використаних</w:t>
      </w:r>
      <w:proofErr w:type="spellEnd"/>
      <w:r w:rsidR="00014442" w:rsidRPr="00AF7326">
        <w:rPr>
          <w:rFonts w:ascii="Times New Roman" w:eastAsia="Arial" w:hAnsi="Times New Roman" w:cs="Times New Roman"/>
          <w:i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14442" w:rsidRPr="00AF7326">
        <w:rPr>
          <w:rFonts w:ascii="Times New Roman" w:eastAsia="Arial" w:hAnsi="Times New Roman" w:cs="Times New Roman"/>
          <w:i/>
          <w:color w:val="0D0D0D" w:themeColor="text1" w:themeTint="F2"/>
          <w:sz w:val="28"/>
          <w:szCs w:val="28"/>
          <w:lang w:val="ru-RU"/>
        </w:rPr>
        <w:t>джерел</w:t>
      </w:r>
      <w:proofErr w:type="spellEnd"/>
      <w:r w:rsidR="00014442" w:rsidRPr="00AF7326">
        <w:rPr>
          <w:rFonts w:ascii="Times New Roman" w:eastAsia="Arial" w:hAnsi="Times New Roman" w:cs="Times New Roman"/>
          <w:i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="00014442" w:rsidRPr="00AF7326">
        <w:rPr>
          <w:rFonts w:ascii="Times New Roman" w:eastAsia="Arial" w:hAnsi="Times New Roman" w:cs="Times New Roman"/>
          <w:i/>
          <w:color w:val="0D0D0D" w:themeColor="text1" w:themeTint="F2"/>
          <w:sz w:val="28"/>
          <w:szCs w:val="28"/>
          <w:lang w:val="ru-RU"/>
        </w:rPr>
        <w:t>літератури</w:t>
      </w:r>
      <w:proofErr w:type="spellEnd"/>
    </w:p>
    <w:p w:rsidR="00A3676D" w:rsidRPr="00AF7326" w:rsidRDefault="00A3676D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A3676D" w:rsidRPr="00AF7326" w:rsidRDefault="00A3676D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A3676D" w:rsidRPr="00AF7326" w:rsidRDefault="00A3676D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A3676D" w:rsidRPr="00AF7326" w:rsidRDefault="00A3676D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AF7326" w:rsidRPr="00AF7326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AF7326" w:rsidRPr="00AF7326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AF7326" w:rsidRPr="00AF7326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AF7326" w:rsidRPr="00AF7326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AF7326" w:rsidRPr="00AF7326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AF7326" w:rsidRPr="00AF7326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AF7326" w:rsidRPr="00AF7326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AF7326" w:rsidRPr="00AF7326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AF7326" w:rsidRPr="00AF7326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AF7326" w:rsidRPr="00AF7326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AF7326" w:rsidRPr="00AF7326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AF7326" w:rsidRPr="00AF7326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FD2B5F" w:rsidRPr="00AF7326" w:rsidRDefault="00A3676D" w:rsidP="00AF732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lastRenderedPageBreak/>
        <w:t>РОЗДІЛ 1.</w:t>
      </w:r>
      <w:r w:rsidR="001915A9"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Нормативно-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правове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підгрунтя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жінками</w:t>
      </w:r>
      <w:proofErr w:type="spellEnd"/>
    </w:p>
    <w:p w:rsidR="00106A36" w:rsidRPr="00AF7326" w:rsidRDefault="00106A36" w:rsidP="00AF732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1.1.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Г</w:t>
      </w:r>
      <w:r w:rsidR="00FD2B5F"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ендерні</w:t>
      </w:r>
      <w:proofErr w:type="spellEnd"/>
      <w:r w:rsidR="00FD2B5F"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FD2B5F"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аспекти</w:t>
      </w:r>
      <w:proofErr w:type="spellEnd"/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Основною метою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дотримання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єдності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статусу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вимогами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законодавства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Створювати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норми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необхідні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практичної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конституційних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принципів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рівноправності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умови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повноцінної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рівнях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управління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відроджувати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історичні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культурні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духовні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традиції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ставлення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суспільстві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думку.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заохочувати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контролювати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дотримання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на ринку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метою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охорони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здоров'я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безпечного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материнства</w:t>
      </w:r>
      <w:r w:rsidR="001C51E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Роз'яснювати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нормативні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акти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запобігання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механізми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підвищувати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правову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грамотність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власних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координацію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заходів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національному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регіональному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рівнях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</w:t>
      </w:r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оречно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окремо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охарактеризувати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міжнародний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законодавчий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бум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гендерної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парадигми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1. Одним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найважливіших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документів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тільки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забороняє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дискримінації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й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передбача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механізм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контролю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виконанням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положень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державами,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ратифікували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Конвенція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ліквідацію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форм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дискримінації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(КЛДЖ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Конвенція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").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Конвенція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"),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набрала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чинності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організацією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Об'єднаних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1979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статтею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документа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Конвенція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ліквідацію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форм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дискримінації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(КЛДЖ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Конвенція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").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свою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владу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1981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"Вермахт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вжив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необхідних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заходів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ліквідації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дискримінації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щоб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права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галузі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  <w:r w:rsidR="001C51E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</w:p>
    <w:p w:rsidR="001C51EE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 1995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C51EE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ідбулася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четверта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Всесвітня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конференція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Пекінська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конференція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), перший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підсумковому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документі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використані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термін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"гендер" і </w:t>
      </w:r>
      <w:proofErr w:type="spellStart"/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підручник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 "</w:t>
      </w:r>
      <w:proofErr w:type="spellStart"/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комплексний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підхід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"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облік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проблематики).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Підготовлені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одноголосно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Пекіні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документи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-Платформа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мир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пекінська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–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відображають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зобов'язання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1915A9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Платформі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визначено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12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стратегічних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пріоритетів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країн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підписали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документи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однією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таких сфер:"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інвестування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неформальну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підготовку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стабільний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економічне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зростання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прихильність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конкретні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урядів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інституцій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мобілізація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необхідних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ресурсів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рівнях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основними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цілями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передумови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успішної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платформи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дій-це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гарна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ідея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915A9" w:rsidRPr="00AF7326" w:rsidRDefault="001915A9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Особливий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інтерес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сфері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представляють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ЄС,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сприяють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Сократа і Леонардо Да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Вінчі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1998-10 роках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Парижі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відбулася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Всесвітня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конференція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вищої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Всесвітня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вищу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21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столітті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: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підходи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практичні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заходи".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наголошується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галузі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наукових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досліджень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вищої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продовжувати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зусилля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усунення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стереотипів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закріплення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перспектив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дисциплінах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розширення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рівнях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областях, де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недооцінюють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і,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зокрема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активної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словами, курс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європейського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освітнього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співтовариства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досягнення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підтверджений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2000-2009 роках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саміті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тисячоліття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Нью</w:t>
      </w:r>
      <w:r w:rsidRPr="00AF7326">
        <w:rPr>
          <w:rFonts w:ascii="Times New Roman" w:eastAsia="MS Gothic" w:hAnsi="Times New Roman" w:cs="Times New Roman"/>
          <w:color w:val="0D0D0D" w:themeColor="text1" w:themeTint="F2"/>
          <w:sz w:val="28"/>
          <w:szCs w:val="28"/>
          <w:lang w:val="ru-RU"/>
        </w:rPr>
        <w:t>・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Йорку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тисячоліття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ООН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довгострокові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конкретні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завдання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4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завдання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безпосередньо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досягнення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несе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зобов'язання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області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ратифікації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перерахованих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вище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документів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самим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ефективної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галузі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Конвенція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права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інвалідів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(2006) конкретно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ЖІНОК-ІНВАЛІДІВ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статті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6: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держави-учасниці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жінки-інваліди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дівчата-інваліди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зазнають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множинної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дискримінації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і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зв'язку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вживають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заходів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користування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всіма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основними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володіють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". 17 свобод. XX-XXI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століття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стали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епохою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встановлення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рівності-гендерної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означає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встановлення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гендерного балансу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основи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демократії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Заснована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розширенні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вибору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концепція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сталого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передбачає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необхідно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брати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участь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власної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сфери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вносити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вклад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контролювати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9F1B6F" w:rsidRPr="00AF7326" w:rsidRDefault="009F1B6F" w:rsidP="001C51E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1.</w:t>
      </w:r>
      <w:proofErr w:type="gram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2.Дослідження</w:t>
      </w:r>
      <w:proofErr w:type="gram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гендерну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тематику в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Україні</w:t>
      </w:r>
      <w:proofErr w:type="spellEnd"/>
    </w:p>
    <w:p w:rsidR="001C51EE" w:rsidRDefault="00FD2B5F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Велика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частина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досліджень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гендерних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питань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проводиться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різними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міжнародними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організаціями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представництвами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спрямованими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просування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чоловіками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рівних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і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управління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питань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демократії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прав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Державного департаменту США,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міжнародної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міграції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proofErr w:type="gram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Британської</w:t>
      </w:r>
      <w:proofErr w:type="spellEnd"/>
      <w:proofErr w:type="gram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Ради, ОБСЄ,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рівних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ПРООН та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цінною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моніторингу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ситуації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гендерною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рівністю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українському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суспільстві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Новий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етап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розпочався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1996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коли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було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створено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Міністерство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справах</w:t>
      </w:r>
      <w:proofErr w:type="gram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-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Вищий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орган державного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управління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покликаний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формувати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політику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1999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Верховна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Рада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затвердила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декларацію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загальні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засади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державної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Крім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соціальних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19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центральними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органами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влади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відповідними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місцевими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структурами,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формування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адміністративних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установ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поліпшення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становища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забезпечує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потребу в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адміністраціях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областей і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міст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відділи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управи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</w:t>
      </w:r>
      <w:proofErr w:type="gram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справах</w:t>
      </w:r>
      <w:proofErr w:type="gram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Вони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областях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становища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підвищують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роль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суспільстві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зрівнюють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сферах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стаціонарних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кризових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комплекс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психологічна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медична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реабілітація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юридичні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консультації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правовий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отриманні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відновленні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документів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т.д.)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порятунку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здоров'я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бути.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Звичайно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екстрена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сама по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собі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проблем, але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врятувати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9F1B6F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функцій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носить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довгостроковий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характер,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необхідність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визначається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складним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набором причин. Тому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методи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використовувані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даному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випадку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різноманітні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придатними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соціально-психологічної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соціально-економічної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медичної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реабілітації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життєвих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ситуаціях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Перепідготовку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перенавчання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затребуваним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розглядати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найважливіший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засіб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трудової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реабілітації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Із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загальної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чисельності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становить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близько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4 540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мільйонів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осіб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проживають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близько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2 430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мільйонів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53,7%,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становлять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Наш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нинішній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потребує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фундаментальних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змін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представників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сферах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законодавчої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інтеграції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просто-таки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юридичного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втілення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правозахисних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механізмів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розробки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стратегій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впровадження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активної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хлопчиків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процесі</w:t>
      </w:r>
      <w:proofErr w:type="spellEnd"/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9F1B6F" w:rsidRPr="00AF7326" w:rsidRDefault="009F1B6F" w:rsidP="00EC3204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lastRenderedPageBreak/>
        <w:t>1.</w:t>
      </w:r>
      <w:proofErr w:type="gram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3.Державна</w:t>
      </w:r>
      <w:proofErr w:type="gram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політика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1C51EE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сьогодні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але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враховує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документ,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підписаний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До них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відносяться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зокрема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Статут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Об'єднаних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(1945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Загальна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(1948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Конвенція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боротьбу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торгівлею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людьми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експлуатацією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проституції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третіми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особами (1949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Конвенція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основних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свобод (1950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).,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Конвенція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основних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свобод (1950),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Конвенція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основних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свобод (1950),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Конвенція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основних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свобод (1950),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Конвенція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основних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свобод (1950),;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Конвенція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ліквідацію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форм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дискримінації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(1979),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Пекінська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(1995)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проте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питанню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справжньої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необхідно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приділяти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уваги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враховуючи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обраний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напрямок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Президента і уряду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вступу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Європейського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співтовариства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Тому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розробка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вдосконалення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стосуються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складової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є для нас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важливим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завданням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співтовариства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Одним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основних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нормативно-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актів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Конституція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яка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закріплює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Таким чином,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статті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24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Конституції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громадяни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конституційні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права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свободи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перед законом.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найважливіше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конституційне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положення</w:t>
      </w:r>
      <w:proofErr w:type="spellEnd"/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права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недискримінацію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Я думаю,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потрібно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легко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проаналізувати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24-та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частина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статті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3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єдиним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положенням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заходи з боку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назвати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позитивними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".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міститься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довгий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перелік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заходів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держава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зобов'язана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вжити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".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Спеціальні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заходи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охорони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потенційною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проблемою.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Незважаючи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те,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час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вагітності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післяпологовий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період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виникають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особливі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потреби,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вимагають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коригування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умов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насправді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них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пред'являються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особливі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вимоги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безпеки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порівнянні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навпаки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статті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розкриваються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підходи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видається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є прямо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дискримінаційними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ознакою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Наприклад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Трудовий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кодекс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обмежує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участь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вагітних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маленькими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видах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робіт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навіть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вони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вимогам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готові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Міра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умов,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дозволяють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жонглювати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материнством" є проблематичною в тому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сенсі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складність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жонглювання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батьківством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ускладнює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так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самих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винятком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вагітності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післяпологового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періоду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). Тому,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керуючись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найкращими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намірами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положенні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говориться,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тільки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повинні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нести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відповідальність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виховання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значить,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повинні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поєднувати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материнство і роботу.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Звичайно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плані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унікальна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держав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продовжують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дискримінувати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батьківських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завдати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шкоди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так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Встановлення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пенсійних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виплат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позитивним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актом.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пенсійні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виплати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повинні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бути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заборонені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розглядатися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позитивні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оскільки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вони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носять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дискримінаційний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характер в силу самого факту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встановлення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оплачувана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відпустка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 догляду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дитиною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 догляду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дитиною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т.д.,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повинні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доступ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батьків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". </w:t>
      </w:r>
    </w:p>
    <w:p w:rsidR="001C51EE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закон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положень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Конституції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Комітет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ліквідації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дискримінації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представив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найбільш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детальне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пояснення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використання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тимчасових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спеціальних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заходів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КЛДЖ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зазначив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метою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тимчасових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спеціальних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заходів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прискорення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прогресу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встановленні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фактичної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суттєвої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попередні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діючі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дискримінацію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основний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напрямок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вперше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введені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таких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термінів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як "сексизм",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сексуальні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домагання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 і "гендерна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". </w:t>
      </w:r>
    </w:p>
    <w:p w:rsidR="00E14515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закон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повноваження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Верховної</w:t>
      </w:r>
      <w:proofErr w:type="spellEnd"/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Ради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Уповноваженого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Верховної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Ради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забезпечуючи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права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проте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даний час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спостерігається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нестача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соціологічних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досліджень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статистичної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здійснення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відсутній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аналіз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державного бюджету,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наявність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позначило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 весь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дисбаланс. Таким чином,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нормативно-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триває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уряд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виконавчої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вживають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заходів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українському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суспільстві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E14515" w:rsidRPr="00AF7326" w:rsidRDefault="00E14515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E14515" w:rsidRPr="00AF7326" w:rsidRDefault="00E14515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6E2508" w:rsidRPr="00AF7326" w:rsidRDefault="006E2508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6E2508" w:rsidRPr="00AF7326" w:rsidRDefault="006E2508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6E2508" w:rsidRDefault="006E2508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Pr="00AF7326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6E2508" w:rsidRPr="00AF7326" w:rsidRDefault="006E2508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6E2508" w:rsidRPr="00AF7326" w:rsidRDefault="006E2508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6E2508" w:rsidRPr="00AF7326" w:rsidRDefault="006E2508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Default="00E14515" w:rsidP="001C51E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1C51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lastRenderedPageBreak/>
        <w:t>РОЗДІЛ 2.</w:t>
      </w:r>
      <w:r w:rsidR="003C73A2" w:rsidRPr="001C51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r w:rsidR="001C51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СИСТЕМ СОЦІАЛЬНИХ СЛУЖБ В УКРАЇНІ</w:t>
      </w:r>
    </w:p>
    <w:p w:rsidR="001C51EE" w:rsidRDefault="001C51EE" w:rsidP="001C51E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3C73A2" w:rsidRDefault="005E5625" w:rsidP="001C51E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1C51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2.1</w:t>
      </w:r>
      <w:r w:rsidR="003C73A2" w:rsidRPr="001C51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="003C73A2" w:rsidRPr="001C51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Загальна</w:t>
      </w:r>
      <w:proofErr w:type="spellEnd"/>
      <w:r w:rsidR="003C73A2" w:rsidRPr="001C51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характеристика </w:t>
      </w:r>
      <w:proofErr w:type="spellStart"/>
      <w:r w:rsidR="003C73A2" w:rsidRPr="001C51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системи</w:t>
      </w:r>
      <w:proofErr w:type="spellEnd"/>
      <w:r w:rsidR="003C73A2" w:rsidRPr="001C51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3C73A2" w:rsidRPr="001C51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="003C73A2" w:rsidRPr="001C51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служб в </w:t>
      </w:r>
      <w:proofErr w:type="spellStart"/>
      <w:r w:rsidR="003C73A2" w:rsidRPr="001C51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Україні</w:t>
      </w:r>
      <w:proofErr w:type="spellEnd"/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Важливу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роль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покликане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зіграти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необхідних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представникам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потребують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Вони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важливим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сектором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сфери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вимагають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регулювання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регламентації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технології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яка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представляє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собою ряд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заходів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незахищених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верств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Система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період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Радянським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Союзом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сформована великими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інтернатами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підпорядкованими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відомствам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Дитячі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будинки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сиріт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школи-інтернати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школи-інтернатки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Психоневрологічні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інтернати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будинки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престарілих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тощо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). В основу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функціонування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покладена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ідея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колективного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виховання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колективного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них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працювало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кілька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працівників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і, як правило,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етичні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стандарти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часто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застосовувались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установ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цілому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успадкований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системою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сучасної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період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незалежності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нашої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почався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системи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спеціалізованих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установ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сімейного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догляду за людьми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похилого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людьми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обмеженими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молоддю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залишилися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без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піклування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батьків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Давайте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докладніше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розглянемо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особливості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здійснюється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фахівцями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службовцями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керівниками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служб.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найчастіше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асоціюються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діяльністю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стаціонарних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денних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установ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системи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сформована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вітчизняна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система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Однак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розуміння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часто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дійсності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практиці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Наприклад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Закон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"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роботу,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подолання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полегшення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життєвих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труднощів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статусу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повноцінного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функціонування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служб, а Закон"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роботу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молоддю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роботу,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задоволення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виникають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НАДАННЯ СОЦІАЛЬНОЇ ДОПОМОГИ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Вона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гармонійний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різнобічний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Найбільш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розумною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мабуть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трактування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мережі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потенційних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життєвих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благ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сприяння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нормалізації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соціально-психологічних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відносин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людьми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структур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незалежності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915A9" w:rsidRPr="00AF7326" w:rsidRDefault="001915A9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даний час система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знаходиться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етапі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змін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оновлення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зв'язку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трансформації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Створено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міждисциплінарні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функціональні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структури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Основою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системи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-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яка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проводить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подолання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полегшення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ситуацій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служби-це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організована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форма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оскільки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вони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здійснюють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практичну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роботу, в рамках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працівники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Система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охоплює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територію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недержавну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муніципальну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).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відносяться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підприємства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установи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системи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Міністерства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відомства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яких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входять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функції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неурядових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належать установи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підприємства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благодійними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релігійними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приватними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особами.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установи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підприємства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керують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Особливості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конкретної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залежать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мети,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сфери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клієнта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3C73A2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бути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організовані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галузевим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територіальним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принципом.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Водночас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відомчі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установи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частиною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територіальної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мережі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систем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але вони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завжди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повністю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інтегровані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Важливу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роль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формуванні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систем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відіграє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умови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функціонування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служб, напрямки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вразливих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груп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1C51EE" w:rsidRPr="00EC3204" w:rsidRDefault="001C51EE" w:rsidP="00EC3204">
      <w:pPr>
        <w:spacing w:after="0" w:line="360" w:lineRule="auto"/>
        <w:ind w:firstLine="720"/>
        <w:jc w:val="center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</w:pPr>
    </w:p>
    <w:p w:rsidR="003C73A2" w:rsidRPr="00EC3204" w:rsidRDefault="005E5625" w:rsidP="00EC3204">
      <w:pPr>
        <w:spacing w:after="0" w:line="360" w:lineRule="auto"/>
        <w:ind w:firstLine="720"/>
        <w:jc w:val="center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ru-RU"/>
        </w:rPr>
      </w:pPr>
      <w:r w:rsidRPr="00EC320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lang w:val="ru-RU"/>
        </w:rPr>
        <w:t>2.</w:t>
      </w:r>
      <w:r w:rsidR="003C73A2" w:rsidRPr="00EC320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lang w:val="ru-RU"/>
        </w:rPr>
        <w:t xml:space="preserve">2. Мережа </w:t>
      </w:r>
      <w:proofErr w:type="spellStart"/>
      <w:r w:rsidR="003C73A2" w:rsidRPr="00EC320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="003C73A2" w:rsidRPr="00EC320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proofErr w:type="gramStart"/>
      <w:r w:rsidR="003C73A2" w:rsidRPr="00EC320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lang w:val="ru-RU"/>
        </w:rPr>
        <w:t>спеціалізованих</w:t>
      </w:r>
      <w:proofErr w:type="spellEnd"/>
      <w:r w:rsidR="003C73A2" w:rsidRPr="00EC320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lang w:val="ru-RU"/>
        </w:rPr>
        <w:t xml:space="preserve">  </w:t>
      </w:r>
      <w:proofErr w:type="spellStart"/>
      <w:r w:rsidR="003C73A2" w:rsidRPr="00EC320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lang w:val="ru-RU"/>
        </w:rPr>
        <w:t>формувань</w:t>
      </w:r>
      <w:proofErr w:type="spellEnd"/>
      <w:proofErr w:type="gramEnd"/>
      <w:r w:rsidR="003C73A2" w:rsidRPr="00EC320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="003C73A2" w:rsidRPr="00EC3204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lang w:val="ru-RU"/>
        </w:rPr>
        <w:t>Україні</w:t>
      </w:r>
      <w:proofErr w:type="spellEnd"/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допомагають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класифікуються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певними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критеріями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Залежно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масштабу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розрізняють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: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-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(таких, як Дитячий фонд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Об'єднаних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альянс по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боротьбі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ВІЛ /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СНІДом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поширюється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простір</w:t>
      </w:r>
      <w:proofErr w:type="spellEnd"/>
      <w:r w:rsidRPr="00AF7326">
        <w:rPr>
          <w:rFonts w:ascii="Times New Roman" w:eastAsia="MS Gothic" w:hAnsi="Times New Roman" w:cs="Times New Roman"/>
          <w:color w:val="0D0D0D" w:themeColor="text1" w:themeTint="F2"/>
          <w:sz w:val="28"/>
          <w:szCs w:val="28"/>
          <w:lang w:val="ru-RU"/>
        </w:rPr>
        <w:t>、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-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Національна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Міністерство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Національний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Всеукраїнська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мережа людей,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живуть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ВІЛ,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Україна</w:t>
      </w:r>
      <w:proofErr w:type="spellEnd"/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 ;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-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Регіональні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районні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зайнятості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муніципальні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УПРАВЛІННЯ ПРАЦІ ТА СОЦІАЛЬНОГО ЗАХИСТУ,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благодійні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зареєстровані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обласному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муніципальному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районному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рівнях</w:t>
      </w:r>
      <w:proofErr w:type="spellEnd"/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);;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брати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уваги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то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установи,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здійснюють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роботу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своїх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повноважень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функціональних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обов'язків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ставитися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одного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наступних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5 </w:t>
      </w:r>
      <w:proofErr w:type="spellStart"/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::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1.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планування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Своїми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рішеннями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нормативними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актами вони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межі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служб. До них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відносяться</w:t>
      </w:r>
      <w:proofErr w:type="spellEnd"/>
      <w:r w:rsidRPr="00AF7326">
        <w:rPr>
          <w:rFonts w:ascii="Times New Roman" w:eastAsia="MS Gothic" w:hAnsi="Times New Roman" w:cs="Times New Roman"/>
          <w:color w:val="0D0D0D" w:themeColor="text1" w:themeTint="F2"/>
          <w:sz w:val="28"/>
          <w:szCs w:val="28"/>
          <w:lang w:val="ru-RU"/>
        </w:rPr>
        <w:t>：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: </w:t>
      </w:r>
    </w:p>
    <w:p w:rsidR="001915A9" w:rsidRPr="00AF7326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Верховна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Рада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виконує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законодавчі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функції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визначає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засади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затверджує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у тому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числі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економічного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культурного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розвитку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затверджує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бюджет,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здійснює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функції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контролю за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додержанням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Конституції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законів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прав і свобод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громадянина</w:t>
      </w:r>
      <w:proofErr w:type="spellEnd"/>
      <w:proofErr w:type="gram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);;</w:t>
      </w:r>
      <w:proofErr w:type="gram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</w:p>
    <w:p w:rsidR="001915A9" w:rsidRPr="00AF7326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-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ради (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визначають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економічний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культурний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розвиток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відповідних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адміністративно-територіальних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одиниць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встановлюють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податки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збори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затверджують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бюджети</w:t>
      </w:r>
      <w:proofErr w:type="spellEnd"/>
      <w:proofErr w:type="gram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);;</w:t>
      </w:r>
      <w:proofErr w:type="gram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</w:p>
    <w:p w:rsidR="001915A9" w:rsidRPr="00AF7326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-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Кабінет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Міністрів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відповідає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реалізацію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державної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організацію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виконання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Конституції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законів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розробку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гарантування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виконання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включаючи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соціально-економічний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розвиток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).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2.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здійсненні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регіональних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крайових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спеціальних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повноважень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Суб'єкт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відноситься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механізмів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належне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імплементацію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адміністративних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функцій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Такими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суб'єктами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є: </w:t>
      </w:r>
    </w:p>
    <w:p w:rsidR="001915A9" w:rsidRPr="00AF7326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Міністерства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центральний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орган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виконавчої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влади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реалізує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відповідну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галузеву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політику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бере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участь у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підготовці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проекту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Державної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розвитку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економіки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суспільства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Державного бюджету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України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затверджує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галузеві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стандарти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норми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регламенти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в межах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своєї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компетенції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визначеної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законом,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виконує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функції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управління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майном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підприємств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пов'язаним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управлінням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.; </w:t>
      </w:r>
    </w:p>
    <w:p w:rsidR="001915A9" w:rsidRPr="00AF7326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Державна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комісія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центральний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орган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виконавчої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влади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вносить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пропозиції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формування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державної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забезпечує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реалізацію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відповідних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сферах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сприяє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здійсненні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повноважень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іншими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органами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виконавчої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влади</w:t>
      </w:r>
      <w:proofErr w:type="spellEnd"/>
      <w:proofErr w:type="gram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);;;</w:t>
      </w:r>
      <w:proofErr w:type="gram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</w:p>
    <w:p w:rsidR="001915A9" w:rsidRPr="00AF7326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Центральні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виконавчої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влади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особливим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статусом (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мають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особливі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завдання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повноваження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наприклад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Державний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департамент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виконання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заяв</w:t>
      </w:r>
      <w:proofErr w:type="spellEnd"/>
      <w:r w:rsidR="001915A9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).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3.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подолання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поліпшення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груп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сфери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відповідальності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суб'єктів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зайнятості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входить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система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управління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службами, методична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заходи, над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вони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конкретних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випадках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не при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масштабних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проблем.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4.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безпосередньо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клієнтами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(центри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лікарні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територіальні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пенсіонерів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самостійні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інваліди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тощо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);)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5.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проблему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індивідуальну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потребу. </w:t>
      </w:r>
    </w:p>
    <w:p w:rsidR="001C51EE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інформаційні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консультаційні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відділи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з'ясовують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суть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проблеми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направляючи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клієнта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безпосередньо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фахівця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Оскільки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установи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системи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бути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представлені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вигляді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відомчої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мережі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подвійне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підпорядкування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Наприклад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РАЙОННЕ УПРАВЛІННЯ ПРАЦІ ТА СОЦІАЛЬНОГО ЗАХИСТУ НАСЕЛЕННЯ та Центр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мол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входять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 xml:space="preserve">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відомчу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структуру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використовують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норми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стандарти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відомчі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інструкції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методичне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Водночас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вони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підпорядковуються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районній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адміністрації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Вони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фінансуються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переважно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бюджетів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затверджених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радами. </w:t>
      </w:r>
    </w:p>
    <w:p w:rsidR="001915A9" w:rsidRPr="00AF7326" w:rsidRDefault="001915A9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адміністрація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підпорядковується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службі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справах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неповнолітніх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до складу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входять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опіки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піклування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приміщення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тимчасового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утримання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неповнолітніх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них. 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проблеми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бути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службами,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мережа повинна бути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ширшою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мотивується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тільки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результатами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й системою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оцінки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</w:p>
    <w:p w:rsidR="00077D03" w:rsidRDefault="00077D03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Pr="00AF7326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6E2508" w:rsidRPr="00AF7326" w:rsidRDefault="006E2508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5E5625" w:rsidRDefault="005E5625" w:rsidP="001C51E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lastRenderedPageBreak/>
        <w:t>РОЗДІЛ 3.</w:t>
      </w:r>
      <w:r w:rsidR="001C51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СОЦІАЛЬНА РОБОТА З ЖІНКАМИ</w:t>
      </w:r>
    </w:p>
    <w:p w:rsidR="001C51EE" w:rsidRPr="00AF7326" w:rsidRDefault="001C51EE" w:rsidP="001C51E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77798A" w:rsidRPr="00AF7326" w:rsidRDefault="005E5625" w:rsidP="001C51E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3.</w:t>
      </w:r>
      <w:proofErr w:type="gram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1.</w:t>
      </w:r>
      <w:r w:rsidR="006B0F33"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Соціальна</w:t>
      </w:r>
      <w:proofErr w:type="gramEnd"/>
      <w:r w:rsidR="006B0F33"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робота з одинокими </w:t>
      </w:r>
      <w:proofErr w:type="spellStart"/>
      <w:r w:rsidR="006B0F33"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жінками</w:t>
      </w:r>
      <w:proofErr w:type="spellEnd"/>
    </w:p>
    <w:p w:rsidR="001C51EE" w:rsidRDefault="006B0F33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вразлива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група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Статистичні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зарубіжних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дослідників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результати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вітчизняних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(ССМ)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свідчать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клієнтів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становлять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приблизно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2/3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загальної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кількості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тих,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хто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звернувся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пояснюється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двома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основними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причинами. </w:t>
      </w:r>
    </w:p>
    <w:p w:rsidR="001C51EE" w:rsidRDefault="006B0F33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По перше,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незважаючи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позитивні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зміни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відбувалися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протягом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останнього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століття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й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пов’язані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визнанням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важливої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складової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прийняттям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низки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принципово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змістом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документів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Загальна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(1948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Конвенція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ліквідацію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форм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дискримінації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(1979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Віденська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(1993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16 листопада 1988 року,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Платформа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Пекінської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конференції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проблем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(1995 р.)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різноманітні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прояви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дискримінації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ліквідувати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вдалося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6B0F33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сьогодні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основна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категорія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Вони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переважають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безробітних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Фемінізація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бідності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однією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актуальних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глобальних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пошуки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ефективних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шляхів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тривають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Нерівний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розподіл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відношеннях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нерівний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доступ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одними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чинників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політичної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нестабільності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породжують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бідність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разом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із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становлять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абсолютну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тих,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хто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страждає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наслідків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воєнних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конфліктів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хто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потерпає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прояви в приватному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ї.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офіційними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статистичними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даними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тривалість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світі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зростає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порівнянні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6B0F33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Якщо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 початку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1900-х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різниця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дорівнювала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трьом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рокам, то у 80-х роках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минулого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сторіччя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вона становила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приблизно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8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: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тривалість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складала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69,85 і 77,53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зазначити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досить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відрізняються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наведені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показники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представників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рас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національностей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). </w:t>
      </w:r>
    </w:p>
    <w:p w:rsidR="001C51EE" w:rsidRDefault="006B0F33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</w:t>
      </w:r>
      <w:r w:rsidR="005E5625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даними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2002 року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живуть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середньому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11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довше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</w:t>
      </w:r>
      <w:r w:rsidR="00611A36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рівняно</w:t>
      </w:r>
      <w:proofErr w:type="spellEnd"/>
      <w:r w:rsidR="00611A36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але при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нижчий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індекс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здоров’я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нижчу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самооцінку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Крім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того, проблема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старіння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особливою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Для них перспектива стати й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перебувати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вдовою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вірогідна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драматична.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Згідно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світовою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статистики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75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річного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й старшого у 1982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вдівцями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68,5 %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21,7 %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6B0F33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Таким чином,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сприйняття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вразливої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групи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медичні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просвітні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додаткових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громад,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цілому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зменшення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складовими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сталого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світового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співтовариства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боку,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порівняно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притаманна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емоційність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потреба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співчутті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спілкуванні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наявності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 вони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частіше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згодні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й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здатні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шукати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фахівців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фахівців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сукупністю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названих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чинників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на наш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погляд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пояснити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перевагу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клієнтів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служб. </w:t>
      </w:r>
    </w:p>
    <w:p w:rsidR="001C51EE" w:rsidRDefault="006B0F33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</w:t>
      </w:r>
      <w:r w:rsidR="00611A36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моги</w:t>
      </w:r>
      <w:proofErr w:type="spellEnd"/>
      <w:r w:rsidR="00611A36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одиноким </w:t>
      </w:r>
      <w:proofErr w:type="spellStart"/>
      <w:r w:rsidR="00611A36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="00611A36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="00611A36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="00611A36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огляду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пріоритетними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завдання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підготовки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перепідготовки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кадрів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робочих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психологічної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готовності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зміни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їхнього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статусу.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Підвищення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трудової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зайнятості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мало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наслідком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збільшення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кількості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розлучень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неповних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актуалізувало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проблеми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самотності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алкоголізму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наркоманії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проявів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патологій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у тому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числі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злочинів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правопорушень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самогубств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Виокремились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проблеми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психологічного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емоційного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перевантаження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агресії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у тому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числі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сексуального;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планування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народжуваності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зростання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кількості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народжень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неповнолітніх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поширення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ВІЛ/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СНІДу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тощо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611A36" w:rsidRDefault="006B0F33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розв’язанні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окреслених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умов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гармонійного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поєднання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сімейного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велику роль почали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відігравати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1C51EE" w:rsidRPr="00AF7326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611A36" w:rsidRPr="00AF7326" w:rsidRDefault="00611A36" w:rsidP="001C51EE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3.</w:t>
      </w:r>
      <w:proofErr w:type="gram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2.Соціальні</w:t>
      </w:r>
      <w:proofErr w:type="gram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за кордоном</w:t>
      </w:r>
      <w:r w:rsidR="00D97163"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Демографічні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зарубіжних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дослідників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результати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Національної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справах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(SSM)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показують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вразлива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група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клієнтів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становлять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близько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2/3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загального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числа людей,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звернулися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В основному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2 причини.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По-перше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низки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принципово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документів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Загальна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Конвенція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ліквідацію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форм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дискримінації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1948 року,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Віденська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права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1979 року,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1993-11-16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1993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),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зв'язку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визнанням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).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важливий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компонент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незважаючи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позитивні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зміни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відбулися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останнє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століття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1988, Платформа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Пекінської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Конференції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(1995) і т.д.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прояви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дискримінації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вдалося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викорінити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Сьогодні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основною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категорією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Вони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переважають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безробітних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1.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Фемінізація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бідності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однією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актуальних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глобальних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проблем,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пошук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ефективних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триває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Нерівний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розподіл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нерівний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доступ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одним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із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факторів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політичної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нестабільності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породжує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бідність.1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складають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абсолютну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людей,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страждають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наслідків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військових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конфліктів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 xml:space="preserve">і в 7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разів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страждають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прояви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особистому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Згідно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офіційною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статистикою,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тривалість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світі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збільшується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порівнянні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початку 1900-х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різниця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становила 3 роки, то в 80-х роках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минулого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століття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вона становила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близько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8 </w:t>
      </w:r>
      <w:proofErr w:type="spellStart"/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років.Середня</w:t>
      </w:r>
      <w:proofErr w:type="spellEnd"/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тривалість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становила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69,85 та 77,53 року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зауважте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наведені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цифри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сильно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відрізняються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рас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національностей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).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даними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2002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живуть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середньому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11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довше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але при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низький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індекс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здоров'я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низька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самооцінка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Крім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того, проблема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старіння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стала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особливою. 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Для них перспектива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овдовіти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залишитися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імовірною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драматичною.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Згідно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світовою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статистикою, в 1982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старше 75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68,5%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21,7%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вдовами. Тому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вразливими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групами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населення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галузі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охорони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здоров'я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підвищення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обізнаності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додаткових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прийняття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національному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рівнях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цілому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скорочення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необхідні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елементи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сталий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глобальних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спільнот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навпаки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порівнянні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відрізняються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емоційністю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потребою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співчутті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спілкуванні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виникає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проблема, вони,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швидше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все,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погоджуються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звернутися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професіоналів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фахівців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із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поєднанням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факторів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на наш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погляд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пояснити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переваги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клієнтів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одиноким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враховуючи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завдання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підготовки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перепідготовки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персоналу,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робочих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психологічної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готовності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зміни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статусу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 xml:space="preserve">буде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пріоритетним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Зростання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зайнятості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призвело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розлучень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збільшення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числа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неповних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сімей.Усвідомлена</w:t>
      </w:r>
      <w:proofErr w:type="spellEnd"/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самотності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алкоголізму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наркоманії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проявів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патології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тому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числі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злочинності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правопорушень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самогубств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Були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висвітлені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проблеми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психологічних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емоційних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перевантажень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агресії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тому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числі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сексуального.Були</w:t>
      </w:r>
      <w:proofErr w:type="spellEnd"/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висвітлені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планування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народжуваності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збільшення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числа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неповнолітніх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поширення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ВІЛ/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СНІДу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стали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відігравати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важливу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роль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позначених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умов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гармонізації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сімейного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 Давайте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детальніше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розглянемо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моделі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широко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популярні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західній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практиці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будинки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існують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структурах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багатьох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зарубіжних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країн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Австрії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Англії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Німеччини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Швеції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Франції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США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.). Вони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здійснюють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законодавчих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документів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правила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використання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фінансування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укомплектування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Штатів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т.д.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засоби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піддається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фізичному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сексуальному,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психологічному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існує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нестача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житла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засобів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існування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існує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небезпека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наприклад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загроза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заняття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проституцією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).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де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можете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тимчасово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пожити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нас. Мета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притулку-надати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найнеобхіднішу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першу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медичну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провести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повністю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частково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реабілітацію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пізньому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етапі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тільки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житло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харчування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й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юристів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лікарів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психологів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необхідної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конкретна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налагодженні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відносин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органами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проблемних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життєвих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ситуацій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Як правило,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 адресу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клієнтів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афішується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 Наводиться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тільки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інформація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номер телефону,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потрапила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скрутну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ситуацію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відчаю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зателефонувати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будь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-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час.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одночасно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перебувати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декількох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десятків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людей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протягом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певного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періоду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часу.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Після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перших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етапів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адаптації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працівники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намагаються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консультацій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індивідуальної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групової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розробку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плану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майбутнє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При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точка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зору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фахівців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нав'язується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Клієнти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повинні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прийти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самостійно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щоб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складні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ситуації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своєму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Наприклад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розлучитися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працівник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юридичні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Готуючись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виходу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працівники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встановлюють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контакти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службами, родиною,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друзями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центрами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посприяти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житла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тимчасову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фінансову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повністю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фінансуватися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державного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бюджету,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благодійної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Але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бувають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випадки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коли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доводиться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платити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гроші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проживання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Але зарплата там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досить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низька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тому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числі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немає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то там, де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визначена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цільова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квота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мігрантів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спільне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проживання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осіб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обох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статей,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існує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практика.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носять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спеціалізований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характер,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наприклад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існує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30 таких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неповнолітнім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матерям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проводиться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реабілітація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- жертв сексуального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психологічну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знижують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вплив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психологічних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травм,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пов'язаних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подіями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відбулися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оцінками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експертів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Сполучених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Штатах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витрати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медичне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жертв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домашнього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сягають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3-5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мільярдів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доларів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Загальні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економічні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витрати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досягають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5500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мільярдів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доларів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низька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продуктивність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відсутність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робочому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т.д.).).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Наприкінці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1990-х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років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понад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250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боротьбі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розроблені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впроваджені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спеціальні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запобіганню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 роботу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матерями,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стали жертвами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зазнали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жорстокого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поводження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боку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однолітків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дорослих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Великобританії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мережа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кризових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жертв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1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Единбурзі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матерям,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стали жертвами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сексуальних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злочинів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Британський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використаний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подібних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Канаді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Як правило, основною формою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тренінги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індивідуальні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заняття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жертвами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Телефонна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служба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жінки-інформація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 -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одна служба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жертв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Телефонна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національному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так і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рівнях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Як правило, вони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розраховані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 роботу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протягом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дня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оснащені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технічними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засобами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дозволяють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швидко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реагувати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кризові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ситуації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Гаряча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лінія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 яку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звернутися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будь-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час,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Франції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Америці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розмові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клієнткою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співробітники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намагаються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з'ясувати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яка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потрібна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: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Медична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консультація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адвокат,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фахівець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т.д.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зазвичай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обслуговуючий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персонал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спочатку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повідомляє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небезпечну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ситуацію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і, при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необхідності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персонал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Таким чином,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телефонна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роль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індикатора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оперативного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посередника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можливістю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реєструвати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екстремальні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ситуації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вибирати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найбільш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ефективний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метод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реагування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оптимальний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час.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дозволяє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послабити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напруженість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скоротити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Інформаційний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AF7326" w:rsidRPr="00AF7326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європейських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країнах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інформаційні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центри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однією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підтримуються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національному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регіональному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рівнях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Наприклад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 xml:space="preserve">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Франції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безкоштовну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права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сферах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консультації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сімейного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права, право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).</w:t>
      </w:r>
    </w:p>
    <w:p w:rsidR="001C51EE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Інформаційний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робочий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день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кілька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разів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тиждень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певний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час. Центр часто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випускає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власні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листівки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публікує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газетах,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організовує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виставки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культурні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заходи.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Інформаційний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ділиться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комплексний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багатьох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аспектів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наприклад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виховання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здоров'я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наркоманії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СНІД),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спеціалізація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залежить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компетенції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регіону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ступеня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актуальності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конкретного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інтереси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ініціаторів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засновників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даного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сервісу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Багатопрофільні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центри,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пропонують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клієнтам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широкий спектр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багатьох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зарубіжних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країнах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Вони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відрізняються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обсягом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кількістю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клієнтів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механізмом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фінансування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Наприклад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Америці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існує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мережа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благоустрою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будинку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перший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з'явився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1979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 початку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90-х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філій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 В рамках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будинку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здійснюється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велика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кількість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проводяться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інтересами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(вокал, дизайн,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гуртки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вивчення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іноземних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т.д.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).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Він</w:t>
      </w:r>
      <w:proofErr w:type="spellEnd"/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функціонує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проводяться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консультації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спортивні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секції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1C51EE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психотерапевти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психологи-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консультанти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сексологи,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працівники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волонтери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Організована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цілодобова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лінія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довіри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група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алкоголіків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наркоманів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При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Будинку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створено фонд,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необхідності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сприяє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фінансової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проектів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початку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Будинок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співпрацює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медичними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центрами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клініками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32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підручники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отримати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кваліфіковану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консультацію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лікування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[2, с.179-193]. Центр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фінансується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рахунок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коштів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благодійних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пожертв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орендної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плати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приміщення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будівлі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оренду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Центр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 xml:space="preserve">молодим матерям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першу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чергу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неповнолітнім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матерям,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опинилися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важкій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життєвій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ситуації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після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народження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своїх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Подібно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центр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житлом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харчуванням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неповнолітніх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немає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гідних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умов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для догляду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Але,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крім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центр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прагне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медичних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виховних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здоров'я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Перебування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буде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тривалим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ніж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перебувати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тривалий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час,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наприклад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до тих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пір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дитині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виповниться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1,5–2 роки. </w:t>
      </w:r>
    </w:p>
    <w:p w:rsidR="001C51EE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час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пройти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курси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догляду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курси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підготовки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Перебуваючи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працівники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допомагають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знайти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роботу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доглядати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дитиною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тому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почати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продовжити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роботу.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заклади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наприклад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університети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багатьох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західних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країнах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запровадили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спеціальні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умов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перебувають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важкій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життєвій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ситуації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таких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неповнолітні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самостійно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виховують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спеціальний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персонал,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допомагає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матерям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поєднувати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батьківські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обов'язки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значущі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фінансуються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урядами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штатів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федеральним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урядом,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благодійними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спонсорами. </w:t>
      </w:r>
    </w:p>
    <w:p w:rsidR="001C51EE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дистанційного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все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популярними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сучасних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високорозвинених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країнах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тих,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хто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потребує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отримання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дистанційного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категорії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домогосподарок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перебувають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відпустці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 догляду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дитиною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одним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батьком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вважається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важливим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фактором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проблеми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бідності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Число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частка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одним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батьком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розвинених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країнах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постійно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зростають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них-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живуть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своїми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матерями. </w:t>
      </w:r>
    </w:p>
    <w:p w:rsidR="001C51EE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Національні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стратегії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неповним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різняться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масштабами та характером.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Узагальнюючи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наявний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на думку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експертів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відзначити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крім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завдання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прожиткового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мінімуму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охорони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здоров'я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перспективним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напрямком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стратегія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поєднання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ролей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батьків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фахівців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1C51EE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характерно,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наприклад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Швеції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впроваджені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заохочують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перепідготовку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працевлаштування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тому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числі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матерів-одиначок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маленькими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відміну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Норвегії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європейських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країн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тут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матері-одиначки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отримують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власне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утримання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тільки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утримання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своїх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Однак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держава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фінансову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підготовці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перепідготовці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кадрів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необхідних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пошуку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високооплачуваної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майбутньому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Для одиноких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батьків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створюються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позакласного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догляду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(у тому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числі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вихідні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вечірні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години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додаткові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особистого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і кожному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батьків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(а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тільки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виплачується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Лікарняна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кількість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необхідних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для догляду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відвідування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школи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Батьки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дошкільнят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скоротити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робочий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день.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мати-одиначка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отримує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аліментів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виплачуються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кошти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достатнього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Pr="00EC3204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Варто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додати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навіть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розлучення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використовуються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заохочення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батьків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виховання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дитини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тому, особливо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Парижі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егідою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мерії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організовуються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зустрічей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батьків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живуть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своєю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матір'ю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після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розлучення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західних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країн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заохочують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встановлення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тимчасової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опіки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(патронатного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виховання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над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неповнолітніми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матерями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неблагополучних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порівнянні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спеціальними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службами,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займаються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неповнолітніх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кількість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організацій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орієнтованих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неповним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дорослим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значно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менше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них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спільноти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-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інтернату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1 прикладом таких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ресурсний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 для одиноких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батьків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 Нью</w:t>
      </w:r>
      <w:r w:rsidRPr="00EC3204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-Йорку</w:t>
      </w:r>
      <w:proofErr w:type="gramEnd"/>
      <w:r w:rsidRPr="00EC3204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 xml:space="preserve">. </w:t>
      </w:r>
    </w:p>
    <w:p w:rsidR="00AF7326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Ця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незалежна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некомерційна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установа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надає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соціальні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послуги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юридичну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допомогу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та,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якщо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необхідно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захист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одиноким батькам.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Організації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можуть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допомогти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реалізації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програми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такого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профілю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співтоваристві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Виходячи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цього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головним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завданням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соціально-виховної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є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підтримка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почуття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людської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гідності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особистісний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розвиток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Представлена модель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дає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уявлення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систему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соціальних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послуг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жінок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західних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країнах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але не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вичерпує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тему.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Існують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також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жіночі</w:t>
      </w:r>
      <w:proofErr w:type="spellEnd"/>
      <w:r w:rsidRPr="00EC32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центри 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відділення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лікування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наркоманії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ліквідації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алкоголізму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кризові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центри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вчинили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спробу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самогубства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перебувають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групі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ризику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самогубства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осіб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пережили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проституцію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рабинь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",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Західний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все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присутній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практиці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залишається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перспективним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напрямком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майбутнє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Однак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зазначити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останні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відбулися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позитивні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зміни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1C51EE" w:rsidRPr="00AF7326" w:rsidRDefault="001C51EE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5C48AB" w:rsidRPr="00AF7326" w:rsidRDefault="00077D03" w:rsidP="001C51E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3.3.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Запровадження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закордоного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досвіду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.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Першим проектом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освітньої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стала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вечірня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гімназія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заснована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Києві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наприкінці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1990 року.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Щороку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(1990-1995)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гімназії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навчалося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13 до 22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100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1996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вечірні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гімназії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працювали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12 областях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Через 4 роки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подібних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моделей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налічувалося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близько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50.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гімназії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вечірній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час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себе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проведення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перших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семінарів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конференцій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круглих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столів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10-річними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підготовку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перших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публікацій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клубів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роботу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молоддю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основних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напрямків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діяльності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Державного центру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перших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існування1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рушійною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силою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формуванні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напрямку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Новий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етап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розпочався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1996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коли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створено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Міністерство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справах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-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Вищий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орган державного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управління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покликаний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своїй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структурі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Міністерстві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спеціальна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координаційна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рада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справах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яка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складається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2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департаментів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: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сприяння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культурно-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просвітницькій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керівників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найбільш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впливових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установ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внесла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значний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внесок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розробку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подальше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здійснення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Національного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плану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поліпшення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становища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Міністерстві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створено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раду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аналітичний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консультативний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орган. У 1999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Верховна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Рада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затвердила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загальні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засади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концепції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сімейної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З моменту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Національного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робота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молоддю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 став одним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із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пріоритетних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напрямків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Вітчизняні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практики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збагачуються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завдяки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ініціативі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неурядових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З 1998 року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повноцінно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Київський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міський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 по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структурі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розпочав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свою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Київський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міський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національний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як перша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вітчизняна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модель державного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міждисциплінарного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центру. 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Харкові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Чернігівської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області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неурядові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почали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створювати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Реабілітаційно-кризовий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 для 10-річних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опинилися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надзвичайних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ситуаціях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функціонує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Донецького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обласного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охорони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здоров'я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дитини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Тут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спеціалізовані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фахівці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консультаційну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медичну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реабілітаційну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З 1999 року при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Сумському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обласному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Міський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кризовий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 xml:space="preserve">центр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"Траст-МЕТ".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Львівській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Черкаській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областях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ведеться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підготовча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робота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постраждали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У 7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містах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Львів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Донецьк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Херсон,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Дніпропетровськ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Житомир,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Лівни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Чернівці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справно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ініціатива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належить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неурядовим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Консорціум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українських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Winrock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International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всебічну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перебувають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групі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ризику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спираючись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активні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неурядові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медичними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освітніми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установами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органами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самоврядування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правоохоронними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органами.</w:t>
      </w:r>
    </w:p>
    <w:p w:rsidR="001C51EE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останні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роки стали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популярними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запобігання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формам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сексуальної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експлуатації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торгівлі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Першим кроком,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зробленим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коаліції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без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", яка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Львівській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Житомирській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Херсонській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Одеській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областях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сприяє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запобіганню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побутового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важливу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роль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цієї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проблеми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відіграє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"Ла Страда–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вони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безпосередньо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боротьбу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торгівлею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жертв. У 1997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 Ла Страда " приступила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гарячої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телефонної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лінії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прямого контакту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- жертвами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торгівлі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людьми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потенційними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жертвами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їдуть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вчитися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кордон.</w:t>
      </w:r>
    </w:p>
    <w:p w:rsidR="001C51EE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напрямку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себе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умови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правила,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викладені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навчальному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посібнику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38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працевлаштування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співвітчизників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кордоном,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родичів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друзів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постраждалих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сексуальної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експлуатації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1997-11-2000-9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часом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близько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5000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звернулися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гарячу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лінію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де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запідозрили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стражданнях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сексуальної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експлуатації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бути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порушеним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торгівлею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людьми.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Крім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 xml:space="preserve">того," Ла Страда " провела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близько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12 000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конфіденційних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консультацій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брала участь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проведенні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досліджень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проблеми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щодо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проведенні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перевірок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платіжних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засобів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випуску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інформаційних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матеріалів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З 2000 року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керівництвом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La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Strada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Winrock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International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бере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участь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глобальній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кампанії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"10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днів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боротьби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", яка проводиться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понад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26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протягом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понад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130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1000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країн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беруть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активну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участь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щорічній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глобальній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кампанії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2003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кампанія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привернення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уваги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двох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актуальних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тем: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торгівля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людьми,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боротьба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українських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активізація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установ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ненасильницьких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ідеологій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суспільстві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1C51EE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Кампанії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себе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тренінги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круглі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столи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обговорення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диспути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семінари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лекції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виставки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трансляції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конференції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слухання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заходи.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одним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нововведенням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проект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партнерство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неурядових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звільнених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позбавлення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волі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запущений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Всеукраїнською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установою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Український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Консорціум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фонду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Відродження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Сьогодні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налічується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11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виправних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колоній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13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регіонах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останні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8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середньому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щорічно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звільнялося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близько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5000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них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знаходять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суспільстві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– у них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немає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житла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боку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родичів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Тому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подальше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складається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кращим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чином,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них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знову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порушують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закон.</w:t>
      </w:r>
    </w:p>
    <w:p w:rsidR="001C51EE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Планується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залучити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українські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благодійні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установи, в основному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звільненим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позбавлення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волі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співпрацювати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органами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релігійними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даної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категорії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організовувати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допомагати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працевлаштуванні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питанні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ресоціалізації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повернення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суспільство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підготовку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підприємництва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важливим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напрямком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Міністерства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зайнятості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Полтавської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області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співпраці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центром "Рада" у 1998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відкрито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підприємництва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Полтавський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бізнес-інкубатор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". </w:t>
      </w:r>
    </w:p>
    <w:p w:rsidR="001C51EE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Зусиллями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співробітників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центру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організовуються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семінари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інформаційно-консультаційна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робота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відкриття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власної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справи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З 2000 року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бізнес-інкубатор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проект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ділова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покликаний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власну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справу,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сімейний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бізнес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т.д.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фінансової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фонду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Відродження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 в 1998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Києві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відкритий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бізнес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-центр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в 2000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-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Ужгороді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установи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безробітним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проводять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основам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бізнесу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комп'ютерній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грамотності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організовують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юридичні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консультації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лідерству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правовому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створюють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базу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підприємництво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регіоні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Зміни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 ринку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призвели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усвідомлення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необхідності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підготовки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висококваліфікованих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фахівців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сфери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комерційної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час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почали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використовуватися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Європейські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технології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зокрема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розроблені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співпраці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Федеральним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інститутом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Німеччини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рамках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консультативної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Transform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advisory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створено 15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тренінгових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компаній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максимально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наближених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умов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підприємства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функціонує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Розпочато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жінок-спеціалістів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сфері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оптової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торгівлі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ресторанно-готельної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індустрії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тренінгових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компаній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проводяться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семінари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бізнес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","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самореалізації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сучасних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соціально-економічних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умовах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". </w:t>
      </w:r>
    </w:p>
    <w:p w:rsidR="001C51EE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підготовка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самореалізація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обмеженими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-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складна проблема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Існує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небезпечна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тенденція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порушення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обмеженими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обмеження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плані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працевлаштування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призводить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зниження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дискримінації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оплаті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зростання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числа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психічних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розладів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Тим часом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пошук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шляху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цієї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проблеми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триває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Наприклад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Донецькій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області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спільно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донецьким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відділенням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Української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Спілки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полегшення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дистанційної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реалізується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Навчальний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посібник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40"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інформаційних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реабілітаційних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жінок-інвалідів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дітьми-інвалідами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". </w:t>
      </w:r>
    </w:p>
    <w:p w:rsidR="001C51EE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Проводяться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виставки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семінари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декоративно-прикладного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мистецтва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обмеженими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брати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участь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виставках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ярмарках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регіонального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Київській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області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створюються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людей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обмеженими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підприємстві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Sam-Sam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Обухові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організовані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швейні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майстерні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10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робочих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особливими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потребами.</w:t>
      </w:r>
    </w:p>
    <w:p w:rsidR="00AF7326" w:rsidRPr="00AF7326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віддаленої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основному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обмеженими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багатодітних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сприяє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організоване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зайнятості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Хмельницької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області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У 2000-1-8 роках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професійну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здобули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2,8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тисячі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осіб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майже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60% становили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дозволяє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дому,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освоїли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основному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Кошти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виділяються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поліпшення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соціально-побутових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умов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осіб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обмеженими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на оплату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вищих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закладах.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Однак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працюючих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напрямку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немає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загальної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стратегії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класифікації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Накопичено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розробки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комплексних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регіональних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прикладами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"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підготовка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сімейного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),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довіра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"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боротьби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побутовим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насильством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діагностичні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методичні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профілактичні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корекційні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медичні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психологічні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заходи.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метою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неповнолітніх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матерів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Херсоні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Вишгороді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Київська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область)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Мереві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Харківська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область) у 1998-</w:t>
      </w: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 xml:space="preserve">1999 роках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Всеукраїнською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молодіжною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організацією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реалізовано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проект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народження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–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виклик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лідерами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нічної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гімназії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випускницею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асоціації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гідів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перший проект,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спрямований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певної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категорії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раніше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стикалися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проблемами. 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Позитивним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результатом проекту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вважати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важливості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проблеми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подальшу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підтримку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проекту з боку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забезпечило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його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останні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роки,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завдяки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громадської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"Школа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розроблені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методики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підготовлені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команди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тренерів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15 до 12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регіонах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Школа широких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-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сучасний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світогляд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прагнемо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навчати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формуванню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лідерських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поширенню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дружніх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однолітків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Слід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зазначити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41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шкільного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тренера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випускниці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вечірньої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гімназії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стали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більш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різноманітними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Наприклад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у 2003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році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Фонд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регіональних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ініціатив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(Ужгород)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оголосив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конкурс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дівочий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світ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присвячений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українському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суспільстві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ньому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запрошуються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9-11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класів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загальноосвітніх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установ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технікумів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гімназій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ліцеїв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першому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етапі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конкурсу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учасники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готують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твір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написаний на тему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чекає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дівчину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"."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А на другому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етапі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фіналістки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запрошуються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Ужгорода. Тому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існують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альтернативи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конкурсів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краси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намагаються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стимулювати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дівочого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характеру, а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зовнішніх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стверджувати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установи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функціонують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рамках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системи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соціально-освітнім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потенціалом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Перш за все,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школи-інтернати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№ 1.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класі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13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Київ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 10-річний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доводить,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модель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створює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додаткові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успішної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дівчаток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сприяє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формуванню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них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прагнення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подальшої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освіти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професії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особистісного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громадянської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участі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ООН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із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вносить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цінний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внесок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усвідомлення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важливості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просування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В даний час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деяких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регіонах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Луганськ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Ужгород, Херсон,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Вінниця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почалося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Центрів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ресурсів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національні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регіональні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конференції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семінари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публікації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систематичними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поряд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багатьма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висвітлюють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Паралельно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розвитком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мережі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індивідуальних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категорій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відбувається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законодавчої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бази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робота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стала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напрямком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Незважаючи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соціально-економічні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труднощі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дефіцит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державного бюджету, брак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підготовлених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кадрів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недостатню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сформованість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законодавчої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бази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системи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триває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AF7326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знайшло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відображення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багатьох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міжнародних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документах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останніх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десятиліть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спеціальній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сесії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Генеральної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Асамблеї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ООН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(2000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).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Декларація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тисячоліття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(2000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).27-а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спеціальна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сесія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Генеральної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Асамблеї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ООН (2002 р.)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основі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лежить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принцип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утвердження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гендерної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рівних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можливостей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чоловіків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проголошений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документі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світ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життя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адаптований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тільки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зарубіжний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й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з'явилися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ефективні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вітчизняні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практичні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розробки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систем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потенціал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частково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повністю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вирішити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жіночого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існування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починають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формуватися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важливою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складовою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політики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Pr="00AF7326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077D03" w:rsidRPr="00AF7326" w:rsidRDefault="00077D03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EC320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ru-RU"/>
        </w:rPr>
        <w:lastRenderedPageBreak/>
        <w:t>3.4</w:t>
      </w: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.</w:t>
      </w:r>
      <w:r w:rsidR="00007D86"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Закон </w:t>
      </w:r>
      <w:proofErr w:type="spellStart"/>
      <w:r w:rsidR="00007D86"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="00007D86"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«Про </w:t>
      </w:r>
      <w:proofErr w:type="spellStart"/>
      <w:r w:rsidR="00007D86"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="00007D86"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007D86"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="00007D86"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» про </w:t>
      </w:r>
      <w:proofErr w:type="spellStart"/>
      <w:r w:rsidR="00007D86"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ф</w:t>
      </w: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інансування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послуг</w:t>
      </w:r>
      <w:proofErr w:type="spellEnd"/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Фінансування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27)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здійснюється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рахунок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коштів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державного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бюджетів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спеціальних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фондів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коштів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підприємств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установ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платежів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благодійної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пожертвувань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джерел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заборонених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законом.  Оплата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28) проводиться: 1)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рахунок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бюджетних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коштів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2)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встановленням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диференційованої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комісії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залежно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доходу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отримувача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3)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рахунок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отримувача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третьої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особи. 1)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рахунок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бюджетних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коштів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: а)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незалежно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доходу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отримувача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: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постраждали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торгівлі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людьми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отримують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законодавства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галузі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протидії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торгівлі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людьми,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Дитячі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будинки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сімейного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типу,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прийомні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як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визначено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пункті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6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частини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5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Закону; Ст. 13 Закону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"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діагностовані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розлади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але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тяжкі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перинатальні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ураження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нервової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системи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тяжкі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вроджені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вади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розвитку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рідкісні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орфанні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захворювання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онкологія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пухлинні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цукровий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діабет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I типу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інсулінозалежний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гостре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хронічне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захворювання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нирок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IV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ступеня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важкими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травмами,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потребують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трансплантації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потребують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паліативної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допомоги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людина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яка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постраждала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внаслідок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пожежі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стихійного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лиха,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катаклізму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битви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Терористичні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акти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збройні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конфлікти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тимчасова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окупація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−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особам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категорій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−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консультування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притулку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вираження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інтересів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сурдоперекладу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терміновому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порядку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кризові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ситуації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).б)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одержувачу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винятком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зазначених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вище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чий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середньомісячний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валовий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дохід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становить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менше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прожиткових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мінімумів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осіб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категорії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-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При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встановленні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диференційованих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тарифів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порядку,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визначеному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Кабінетом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Міністрів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одержувачам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чий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середньомісячний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валовий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дохід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перевищує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два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прожиткові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мінімуми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але 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перевищує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чотирьох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прожиткових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мінімумів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категорії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осіб.соціальні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рахунок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сторонніх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одержувачів.1)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одержувачі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чий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середньомісячний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валовий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дохід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перевищує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4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прожиткові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мінімуми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осіб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категорії;2)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перевищує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суму,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визначену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стандартами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Середньомісячний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валовий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дохід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одержувачів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права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отримання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рахунок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бюджетних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коштів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встановленням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диференційованих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тарифів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визначається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шляхом автоматичного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обміну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даними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наявними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інформаційно-телекомунікаційними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системами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влади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підприємств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установ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попередній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квартал поточного року.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місяць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попереднім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місяцем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лікування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і шляхом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середньомісячного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валового доходу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кількість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сімей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входять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складу.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прораховано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Коли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залучаються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недержавні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постачальники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замовлення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державно-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приватне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партнерство, конкурс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проектів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програми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тощо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).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Оплата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рахунок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бюджетних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коштів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встановлення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диференційованих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комісій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компенсувати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постачальнику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вартість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таких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Рада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міністрів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Автономної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Республіки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місцева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державна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адміністрація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Виконавчий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орган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міської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ради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міст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обласного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значення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Рада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об'єднаних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територіальних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громад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приймати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в тому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числі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передбачені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нормами Закону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, Про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території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Автономної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Республіки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Крим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рахунок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бюджетних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коштів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/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категорій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осіб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разі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введення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надзвичайного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воєнного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стану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окремих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її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регіонах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 мене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друзів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і у мене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багато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подруг. 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звільнення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одержувача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оплати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постачальниками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недержавного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сектора,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приймається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такими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постачальниками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самостійно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Розмір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оплати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визначається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постачальником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залежно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змісту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обсягу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надаються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Відповідальність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порушення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вимог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Закону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Закон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"</w:t>
      </w:r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ст.Стаття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29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встановлює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досить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узагальнене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Положення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те,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особи,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допустили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бездіяльність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хто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порушив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вимоги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Закону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несуть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відповідальність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Закону. Таким чином,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уточнюється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законодавчими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актами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закріплена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відповідальність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юридична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відповідальність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види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юридичної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відповідальності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Аналіз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норм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Кримінального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кодексу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Кодексу </w:t>
      </w:r>
      <w:proofErr w:type="spellStart"/>
      <w:proofErr w:type="gram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proofErr w:type="gram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адміністративні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правопорушення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передбачає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адміністративну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кримінальну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відповідальність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певні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сфері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21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робота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сім'єю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молоддю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". Тому,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зокрема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норми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розділу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III "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відповідальність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порушення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законодавства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сфері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сім'єю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молоддю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 Закону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роботу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молоддю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ст.20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цього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закону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передбачають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тих,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хто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вчинив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такі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гріхи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: а)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порушення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принципів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сім'єю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молоддю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".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працювати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молоддю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; б)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нездатність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фахівців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із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виконувати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свої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обов'язки;в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порушення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порядку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проведення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молоддю;г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недотримання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національних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стандартів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обслуговування;д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) </w:t>
      </w:r>
    </w:p>
    <w:p w:rsidR="001C51EE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Суб'єкт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молоддю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який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порушив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інші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законодавчі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вимоги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галузі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несе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відповідальність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Закону. І в СТ. 21.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Було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вирішено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спори,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виникають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у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сфері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роботи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сім'ями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дітьми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молоддю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будуть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розглядатися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до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законодавства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включаючи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медіацію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007D86" w:rsidRPr="00AF7326" w:rsidRDefault="00AF732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результаті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джерела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фінансування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дуже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різноманітні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але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чітко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регламентовані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Навпаки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питання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юридичну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відповідальність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за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порушення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при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наданні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неоднозначний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в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цілому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врегульовано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Процедури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захисту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відповідних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 є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судовими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позасудовими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передбачають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знання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норм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процесуального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права і закону про </w:t>
      </w:r>
      <w:proofErr w:type="spellStart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медіацію</w:t>
      </w:r>
      <w:proofErr w:type="spellEnd"/>
      <w:r w:rsidRPr="00AF7326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</w:t>
      </w:r>
    </w:p>
    <w:p w:rsidR="00322781" w:rsidRPr="00AF7326" w:rsidRDefault="00007D86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              </w:t>
      </w: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322781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1C51EE" w:rsidRPr="00AF7326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</w:p>
    <w:p w:rsidR="00007D86" w:rsidRPr="00AF7326" w:rsidRDefault="00007D86" w:rsidP="001C51E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lastRenderedPageBreak/>
        <w:t>ВИСНОВОК</w:t>
      </w:r>
    </w:p>
    <w:p w:rsidR="00AF7326" w:rsidRPr="00AF7326" w:rsidRDefault="00AF7326" w:rsidP="001C51EE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В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останні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роки почали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з'являтися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нові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державні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недержавні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установи та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що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надають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різноманітні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послуги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широкому колу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населення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Під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неурядовими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організаціями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соціальній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сфері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розуміються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некомерційні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декларують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своєю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місією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вирішення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 в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цілому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і проблем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окремих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груп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користувачів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Більшість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таких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організацій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Україні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роблять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тільки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перший крок, але вони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зміцнюють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свою роботу і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користуються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значною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підтримкою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уряду.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Вирішення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вимагає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фахівця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компетентності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в широкому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спектрі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проблем, аж до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загальної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допомоги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належної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юридичної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підготовки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знання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елементів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соціології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психології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конкретних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методів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вирішення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певних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проблем.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Крім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того, в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умовах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налагодженої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командної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службах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можлива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ефективна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робота в рамках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посадових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обов'язків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1C51EE" w:rsidRDefault="00AF7326" w:rsidP="001C51EE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Система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" в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морфологічному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вимірі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"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використовує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свою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енергію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досягнення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спільної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мети в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процесі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функціонування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-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створення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відтворення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основних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людських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сил. </w:t>
      </w:r>
    </w:p>
    <w:p w:rsidR="00AF7326" w:rsidRPr="00AF7326" w:rsidRDefault="00AF7326" w:rsidP="001C51EE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Важливою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особливістю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є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надзвичайна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гнучкість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як на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етапі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планування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так і при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соціально-психологічній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діагностиці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при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прогнозуванні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розробці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успішної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соціальної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. </w:t>
      </w:r>
    </w:p>
    <w:p w:rsidR="00AF7326" w:rsidRPr="00AF7326" w:rsidRDefault="00AF7326" w:rsidP="001C51EE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Соціальні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служби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(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державні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спеціалізовані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)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покликані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виконувати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відповідальну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місію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обумовлену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високопрофесійною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діяльністю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співробітників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організаційною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культурою: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задовольняти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потреби тих,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хто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цього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потребує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задовольняти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потреби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задовольняти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потреби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задовольняти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потреби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задовольняти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потреби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задовольняти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потреби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задовольняти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потреби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задовольняти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потреби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задовольняти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потреби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задовольняти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потреби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інших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</w:p>
    <w:p w:rsidR="00007D86" w:rsidRPr="00AF7326" w:rsidRDefault="00AF7326" w:rsidP="001C51E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Вимогою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часу є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вдосконалення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організації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діяльності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державних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професійних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України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тонкощів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Підбір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компетентних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фахівців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надання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різних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видів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послуг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, а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також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потреба в широкому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спектрі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працівників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керівників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>соціальних</w:t>
      </w:r>
      <w:proofErr w:type="spellEnd"/>
      <w:r w:rsidRPr="00AF7326"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  <w:t xml:space="preserve"> служб.</w:t>
      </w: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22781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1C51EE" w:rsidRPr="00AF7326" w:rsidRDefault="001C51EE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322781" w:rsidRPr="00AF7326" w:rsidRDefault="00322781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AF7326" w:rsidRDefault="001C5552" w:rsidP="006A3606">
      <w:pPr>
        <w:keepNext/>
        <w:keepLines/>
        <w:spacing w:after="0" w:line="360" w:lineRule="auto"/>
        <w:ind w:firstLine="720"/>
        <w:jc w:val="center"/>
        <w:outlineLvl w:val="3"/>
        <w:rPr>
          <w:rFonts w:ascii="Times New Roman" w:eastAsia="Arial" w:hAnsi="Times New Roman" w:cs="Times New Roman"/>
          <w:b/>
          <w:iCs/>
          <w:caps/>
          <w:color w:val="0D0D0D" w:themeColor="text1" w:themeTint="F2"/>
          <w:sz w:val="28"/>
          <w:szCs w:val="28"/>
          <w:lang w:val="ru-RU"/>
        </w:rPr>
      </w:pPr>
      <w:r w:rsidRPr="006A3606">
        <w:rPr>
          <w:rFonts w:ascii="Times New Roman" w:eastAsia="Arial" w:hAnsi="Times New Roman" w:cs="Times New Roman"/>
          <w:b/>
          <w:iCs/>
          <w:caps/>
          <w:color w:val="0D0D0D" w:themeColor="text1" w:themeTint="F2"/>
          <w:sz w:val="28"/>
          <w:szCs w:val="28"/>
          <w:lang w:val="ru-RU"/>
        </w:rPr>
        <w:lastRenderedPageBreak/>
        <w:t>Список використаних джерел</w:t>
      </w:r>
    </w:p>
    <w:p w:rsidR="006A3606" w:rsidRPr="006A3606" w:rsidRDefault="006A3606" w:rsidP="006A3606">
      <w:pPr>
        <w:keepNext/>
        <w:keepLines/>
        <w:spacing w:after="0" w:line="360" w:lineRule="auto"/>
        <w:ind w:firstLine="720"/>
        <w:jc w:val="center"/>
        <w:outlineLvl w:val="3"/>
        <w:rPr>
          <w:rFonts w:ascii="Times New Roman" w:eastAsia="Arial" w:hAnsi="Times New Roman" w:cs="Times New Roman"/>
          <w:b/>
          <w:iCs/>
          <w:caps/>
          <w:color w:val="0D0D0D" w:themeColor="text1" w:themeTint="F2"/>
          <w:sz w:val="28"/>
          <w:szCs w:val="28"/>
          <w:lang w:val="ru-RU"/>
        </w:rPr>
      </w:pPr>
      <w:bookmarkStart w:id="0" w:name="_GoBack"/>
      <w:bookmarkEnd w:id="0"/>
    </w:p>
    <w:p w:rsidR="00EC3204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робота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6A3606">
        <w:rPr>
          <w:rFonts w:ascii="Times New Roman" w:hAnsi="Times New Roman" w:cs="Times New Roman"/>
          <w:sz w:val="28"/>
          <w:szCs w:val="28"/>
        </w:rPr>
        <w:t>жінками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231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робота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232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робота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>) / [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уклад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.: А. І.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Войтовська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, О. О.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Кравченко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Умань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Візаві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>, 2018. – 229 с.</w:t>
      </w:r>
    </w:p>
    <w:p w:rsidR="006A3606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Алексєєва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Балакірєва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Бондаровська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Гендерний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паритет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розбудови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, 2002. 121 с. </w:t>
      </w:r>
    </w:p>
    <w:p w:rsidR="006A3606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19.06.2003. URL: http://zakon2.rada.gov.ua/laws/show/966-15 </w:t>
      </w:r>
    </w:p>
    <w:p w:rsidR="006A3606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зайнятість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05.07.2012 № 5067VI. URL: http://zakon.kadrovik01.com.ua/regulations/8186/10462/460803/ </w:t>
      </w:r>
    </w:p>
    <w:p w:rsidR="006A3606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загальнообов’язкове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02.03.2000 № 1533-III. URL: http://zakon.kadrovik01.com.ua/regulations/8186/8190/460781/ </w:t>
      </w:r>
    </w:p>
    <w:p w:rsidR="006A3606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Кубіцький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С. О.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ДАКККіМ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, 2009. 209 с. </w:t>
      </w:r>
    </w:p>
    <w:p w:rsidR="006A3606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становища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за 1997–2000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Аналітичний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Міжвідомчий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наук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, 2001. Т. 23. С. 173–243. </w:t>
      </w:r>
    </w:p>
    <w:p w:rsidR="006A3606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Постанова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№ 842. URL: http://zakon2.rada.gov.ua/ laws/show/842-2008-%D0%BF </w:t>
      </w:r>
    </w:p>
    <w:p w:rsidR="006A3606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A360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A3606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/ за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Т. В.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Ковалко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>, 2001. С. 31–85, 99–119.</w:t>
      </w:r>
    </w:p>
    <w:p w:rsidR="006A3606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Балакірєва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Бондар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Галустян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Ю.М.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Секс-бізнес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спроба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дослідне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>., 20</w:t>
      </w:r>
      <w:r w:rsidR="006A3606" w:rsidRPr="006A36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A3606">
        <w:rPr>
          <w:rFonts w:ascii="Times New Roman" w:hAnsi="Times New Roman" w:cs="Times New Roman"/>
          <w:sz w:val="28"/>
          <w:szCs w:val="28"/>
        </w:rPr>
        <w:t xml:space="preserve">1. – 159 с. </w:t>
      </w:r>
    </w:p>
    <w:p w:rsidR="006A3606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Берн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, 2001. – 320 с. </w:t>
      </w:r>
    </w:p>
    <w:p w:rsidR="006A3606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6A3606">
        <w:rPr>
          <w:rFonts w:ascii="Times New Roman" w:hAnsi="Times New Roman" w:cs="Times New Roman"/>
          <w:sz w:val="28"/>
          <w:szCs w:val="28"/>
        </w:rPr>
        <w:lastRenderedPageBreak/>
        <w:t>Соціальна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робота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І.Д.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Зверєвої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Лактіонової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Наук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>, 20</w:t>
      </w:r>
      <w:r w:rsidR="006A3606" w:rsidRPr="006A36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A3606">
        <w:rPr>
          <w:rFonts w:ascii="Times New Roman" w:hAnsi="Times New Roman" w:cs="Times New Roman"/>
          <w:sz w:val="28"/>
          <w:szCs w:val="28"/>
        </w:rPr>
        <w:t>3. – С. 181-194.</w:t>
      </w:r>
    </w:p>
    <w:p w:rsidR="006A3606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r w:rsidRPr="006A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Становище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Ситуаційний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>. – К., 200</w:t>
      </w:r>
      <w:r w:rsidR="006A3606" w:rsidRPr="006A3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Тюптя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Л.Т.,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ІЗ.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робота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практика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>. – К.: ВМУРОЛ «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>», 2004. – С. 264-289.</w:t>
      </w:r>
    </w:p>
    <w:p w:rsidR="006A3606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Волосевич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І.,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Конопницька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Марценюк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становища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. – К.: ВАІТЕ, 2015. – 88 с. –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доступу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: http://www.ekmair.ukma.edu.ua/handle/123456789/4172?mode=full. </w:t>
      </w:r>
    </w:p>
    <w:p w:rsidR="006A3606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цільова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села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Постанова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2007 р. № 1158 [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доступу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A3606" w:rsidRPr="006A3606">
          <w:rPr>
            <w:rStyle w:val="a9"/>
            <w:rFonts w:ascii="Times New Roman" w:hAnsi="Times New Roman" w:cs="Times New Roman"/>
            <w:sz w:val="28"/>
            <w:szCs w:val="28"/>
          </w:rPr>
          <w:t>http://zakon2.rada.gov.ua/laws/show/1158-2007-%D0%BFсм</w:t>
        </w:r>
      </w:hyperlink>
      <w:r w:rsidRPr="006A3606">
        <w:rPr>
          <w:rFonts w:ascii="Times New Roman" w:hAnsi="Times New Roman" w:cs="Times New Roman"/>
          <w:sz w:val="28"/>
          <w:szCs w:val="28"/>
        </w:rPr>
        <w:t>.</w:t>
      </w:r>
    </w:p>
    <w:p w:rsidR="006A3606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Постанова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2013 р. [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доступу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: http://zakon4.rada.gov.ua/laws/show/717-2013- %D0%BF. </w:t>
      </w:r>
    </w:p>
    <w:p w:rsidR="00EC3204" w:rsidRPr="006A3606" w:rsidRDefault="00EC3204" w:rsidP="006A3606">
      <w:pPr>
        <w:pStyle w:val="a4"/>
        <w:keepNext/>
        <w:keepLines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2005 р. № 2866-IV [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06">
        <w:rPr>
          <w:rFonts w:ascii="Times New Roman" w:hAnsi="Times New Roman" w:cs="Times New Roman"/>
          <w:sz w:val="28"/>
          <w:szCs w:val="28"/>
        </w:rPr>
        <w:t>доступу</w:t>
      </w:r>
      <w:proofErr w:type="spellEnd"/>
      <w:r w:rsidRPr="006A3606">
        <w:rPr>
          <w:rFonts w:ascii="Times New Roman" w:hAnsi="Times New Roman" w:cs="Times New Roman"/>
          <w:sz w:val="28"/>
          <w:szCs w:val="28"/>
        </w:rPr>
        <w:t>: http://zakon4.rada.gov.ua/laws/show/2866-15.</w:t>
      </w:r>
    </w:p>
    <w:p w:rsidR="001C5552" w:rsidRPr="00AF7326" w:rsidRDefault="001C5552" w:rsidP="00AF732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sectPr w:rsidR="001C5552" w:rsidRPr="00AF7326">
      <w:head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4F24" w:rsidRDefault="00984F24" w:rsidP="00B43C96">
      <w:pPr>
        <w:spacing w:after="0" w:line="240" w:lineRule="auto"/>
      </w:pPr>
      <w:r>
        <w:separator/>
      </w:r>
    </w:p>
  </w:endnote>
  <w:endnote w:type="continuationSeparator" w:id="0">
    <w:p w:rsidR="00984F24" w:rsidRDefault="00984F24" w:rsidP="00B4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4F24" w:rsidRDefault="00984F24" w:rsidP="00B43C96">
      <w:pPr>
        <w:spacing w:after="0" w:line="240" w:lineRule="auto"/>
      </w:pPr>
      <w:r>
        <w:separator/>
      </w:r>
    </w:p>
  </w:footnote>
  <w:footnote w:type="continuationSeparator" w:id="0">
    <w:p w:rsidR="00984F24" w:rsidRDefault="00984F24" w:rsidP="00B4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1741732"/>
      <w:docPartObj>
        <w:docPartGallery w:val="Page Numbers (Top of Page)"/>
        <w:docPartUnique/>
      </w:docPartObj>
    </w:sdtPr>
    <w:sdtEndPr/>
    <w:sdtContent>
      <w:p w:rsidR="00B43C96" w:rsidRDefault="00B43C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C0" w:rsidRPr="00921AC0">
          <w:rPr>
            <w:noProof/>
            <w:lang w:val="ru-RU"/>
          </w:rPr>
          <w:t>2</w:t>
        </w:r>
        <w:r>
          <w:fldChar w:fldCharType="end"/>
        </w:r>
      </w:p>
    </w:sdtContent>
  </w:sdt>
  <w:p w:rsidR="00B43C96" w:rsidRDefault="00B43C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EFA"/>
    <w:multiLevelType w:val="hybridMultilevel"/>
    <w:tmpl w:val="E9B09EB0"/>
    <w:lvl w:ilvl="0" w:tplc="780CCAA2">
      <w:start w:val="3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CC0438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125E1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86357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6A26B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9E8259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9A8AF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FE38D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A16C45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E16CB"/>
    <w:multiLevelType w:val="hybridMultilevel"/>
    <w:tmpl w:val="41B050E8"/>
    <w:lvl w:ilvl="0" w:tplc="3B0EE770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8668284">
      <w:start w:val="1"/>
      <w:numFmt w:val="lowerLetter"/>
      <w:lvlText w:val="%2"/>
      <w:lvlJc w:val="left"/>
      <w:pPr>
        <w:ind w:left="1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1EA888C">
      <w:start w:val="1"/>
      <w:numFmt w:val="lowerRoman"/>
      <w:lvlText w:val="%3"/>
      <w:lvlJc w:val="left"/>
      <w:pPr>
        <w:ind w:left="2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84FB34">
      <w:start w:val="1"/>
      <w:numFmt w:val="decimal"/>
      <w:lvlText w:val="%4"/>
      <w:lvlJc w:val="left"/>
      <w:pPr>
        <w:ind w:left="3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B8EF024">
      <w:start w:val="1"/>
      <w:numFmt w:val="lowerLetter"/>
      <w:lvlText w:val="%5"/>
      <w:lvlJc w:val="left"/>
      <w:pPr>
        <w:ind w:left="3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62FC0A">
      <w:start w:val="1"/>
      <w:numFmt w:val="lowerRoman"/>
      <w:lvlText w:val="%6"/>
      <w:lvlJc w:val="left"/>
      <w:pPr>
        <w:ind w:left="4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CACE10C">
      <w:start w:val="1"/>
      <w:numFmt w:val="decimal"/>
      <w:lvlText w:val="%7"/>
      <w:lvlJc w:val="left"/>
      <w:pPr>
        <w:ind w:left="5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D2D88C">
      <w:start w:val="1"/>
      <w:numFmt w:val="lowerLetter"/>
      <w:lvlText w:val="%8"/>
      <w:lvlJc w:val="left"/>
      <w:pPr>
        <w:ind w:left="6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0E8EFC">
      <w:start w:val="1"/>
      <w:numFmt w:val="lowerRoman"/>
      <w:lvlText w:val="%9"/>
      <w:lvlJc w:val="left"/>
      <w:pPr>
        <w:ind w:left="6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123AE"/>
    <w:multiLevelType w:val="hybridMultilevel"/>
    <w:tmpl w:val="04E06974"/>
    <w:lvl w:ilvl="0" w:tplc="746E0798">
      <w:start w:val="2"/>
      <w:numFmt w:val="decimal"/>
      <w:lvlText w:val="%1."/>
      <w:lvlJc w:val="left"/>
      <w:pPr>
        <w:ind w:left="3195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56C241B"/>
    <w:multiLevelType w:val="hybridMultilevel"/>
    <w:tmpl w:val="BD088BB0"/>
    <w:lvl w:ilvl="0" w:tplc="61021830">
      <w:start w:val="1"/>
      <w:numFmt w:val="bullet"/>
      <w:lvlText w:val="-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A8FD9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F880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5EA1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9CA19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D28C0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08638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FA4FD1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EE885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1F5C13"/>
    <w:multiLevelType w:val="hybridMultilevel"/>
    <w:tmpl w:val="205CE890"/>
    <w:lvl w:ilvl="0" w:tplc="6562F9C0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5B4110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3F6BC4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12150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44C97F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AC482B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AE19B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D45D4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76BA00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761A1"/>
    <w:multiLevelType w:val="hybridMultilevel"/>
    <w:tmpl w:val="47AE50CE"/>
    <w:lvl w:ilvl="0" w:tplc="3F52B090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B3E3BE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84E364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5E9B6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32CDE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8C4A2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6A30A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464D8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61A9492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326353"/>
    <w:multiLevelType w:val="hybridMultilevel"/>
    <w:tmpl w:val="73B6A722"/>
    <w:lvl w:ilvl="0" w:tplc="4E9ACBA2">
      <w:start w:val="1"/>
      <w:numFmt w:val="bullet"/>
      <w:lvlText w:val="•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2EA3DB0">
      <w:start w:val="1"/>
      <w:numFmt w:val="bullet"/>
      <w:lvlText w:val="o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7E6EDF0">
      <w:start w:val="1"/>
      <w:numFmt w:val="bullet"/>
      <w:lvlText w:val="▪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86CF654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864F5C4">
      <w:start w:val="1"/>
      <w:numFmt w:val="bullet"/>
      <w:lvlText w:val="o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E227BEC">
      <w:start w:val="1"/>
      <w:numFmt w:val="bullet"/>
      <w:lvlText w:val="▪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DCCDFDC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B57A95DC">
      <w:start w:val="1"/>
      <w:numFmt w:val="bullet"/>
      <w:lvlText w:val="o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9D2C45C2">
      <w:start w:val="1"/>
      <w:numFmt w:val="bullet"/>
      <w:lvlText w:val="▪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3F165A7"/>
    <w:multiLevelType w:val="hybridMultilevel"/>
    <w:tmpl w:val="E85EDC1C"/>
    <w:lvl w:ilvl="0" w:tplc="0409000F">
      <w:start w:val="1"/>
      <w:numFmt w:val="decimal"/>
      <w:lvlText w:val="%1."/>
      <w:lvlJc w:val="left"/>
      <w:pPr>
        <w:ind w:left="3195" w:hanging="360"/>
      </w:p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37E75E2F"/>
    <w:multiLevelType w:val="hybridMultilevel"/>
    <w:tmpl w:val="F7669C06"/>
    <w:lvl w:ilvl="0" w:tplc="D2B4F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A47B0"/>
    <w:multiLevelType w:val="hybridMultilevel"/>
    <w:tmpl w:val="C4661B9A"/>
    <w:lvl w:ilvl="0" w:tplc="0409000F">
      <w:start w:val="1"/>
      <w:numFmt w:val="decimal"/>
      <w:lvlText w:val="%1."/>
      <w:lvlJc w:val="left"/>
      <w:pPr>
        <w:ind w:left="3195" w:hanging="360"/>
      </w:p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44757817"/>
    <w:multiLevelType w:val="hybridMultilevel"/>
    <w:tmpl w:val="CEA2B92A"/>
    <w:lvl w:ilvl="0" w:tplc="3A52B438">
      <w:start w:val="1"/>
      <w:numFmt w:val="bullet"/>
      <w:lvlText w:val="•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F382C1C">
      <w:start w:val="1"/>
      <w:numFmt w:val="bullet"/>
      <w:lvlText w:val="o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AAAAFAA">
      <w:start w:val="1"/>
      <w:numFmt w:val="bullet"/>
      <w:lvlText w:val="▪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9840B14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80812A8">
      <w:start w:val="1"/>
      <w:numFmt w:val="bullet"/>
      <w:lvlText w:val="o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32E4AAE2">
      <w:start w:val="1"/>
      <w:numFmt w:val="bullet"/>
      <w:lvlText w:val="▪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17F0A052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37CE854">
      <w:start w:val="1"/>
      <w:numFmt w:val="bullet"/>
      <w:lvlText w:val="o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CA8C6AE">
      <w:start w:val="1"/>
      <w:numFmt w:val="bullet"/>
      <w:lvlText w:val="▪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5701FD9"/>
    <w:multiLevelType w:val="hybridMultilevel"/>
    <w:tmpl w:val="FE1AB39E"/>
    <w:lvl w:ilvl="0" w:tplc="C43E2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85F5A"/>
    <w:multiLevelType w:val="hybridMultilevel"/>
    <w:tmpl w:val="99CA8188"/>
    <w:lvl w:ilvl="0" w:tplc="DD5CD696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B5400DA">
      <w:start w:val="1"/>
      <w:numFmt w:val="lowerLetter"/>
      <w:lvlText w:val="%2"/>
      <w:lvlJc w:val="left"/>
      <w:pPr>
        <w:ind w:left="17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0DE83B8">
      <w:start w:val="1"/>
      <w:numFmt w:val="lowerRoman"/>
      <w:lvlText w:val="%3"/>
      <w:lvlJc w:val="left"/>
      <w:pPr>
        <w:ind w:left="250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C78325C">
      <w:start w:val="1"/>
      <w:numFmt w:val="decimal"/>
      <w:lvlText w:val="%4"/>
      <w:lvlJc w:val="left"/>
      <w:pPr>
        <w:ind w:left="322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170B6DE">
      <w:start w:val="1"/>
      <w:numFmt w:val="lowerLetter"/>
      <w:lvlText w:val="%5"/>
      <w:lvlJc w:val="left"/>
      <w:pPr>
        <w:ind w:left="394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72E83F0">
      <w:start w:val="1"/>
      <w:numFmt w:val="lowerRoman"/>
      <w:lvlText w:val="%6"/>
      <w:lvlJc w:val="left"/>
      <w:pPr>
        <w:ind w:left="466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1E90FD6C">
      <w:start w:val="1"/>
      <w:numFmt w:val="decimal"/>
      <w:lvlText w:val="%7"/>
      <w:lvlJc w:val="left"/>
      <w:pPr>
        <w:ind w:left="53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1C2B2B6">
      <w:start w:val="1"/>
      <w:numFmt w:val="lowerLetter"/>
      <w:lvlText w:val="%8"/>
      <w:lvlJc w:val="left"/>
      <w:pPr>
        <w:ind w:left="610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7E28BAE">
      <w:start w:val="1"/>
      <w:numFmt w:val="lowerRoman"/>
      <w:lvlText w:val="%9"/>
      <w:lvlJc w:val="left"/>
      <w:pPr>
        <w:ind w:left="682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9465933"/>
    <w:multiLevelType w:val="hybridMultilevel"/>
    <w:tmpl w:val="6C7C6D52"/>
    <w:lvl w:ilvl="0" w:tplc="43FCA33E">
      <w:start w:val="3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432E0A4">
      <w:start w:val="1"/>
      <w:numFmt w:val="lowerLetter"/>
      <w:lvlText w:val="%2"/>
      <w:lvlJc w:val="left"/>
      <w:pPr>
        <w:ind w:left="17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BBE75B0">
      <w:start w:val="1"/>
      <w:numFmt w:val="lowerRoman"/>
      <w:lvlText w:val="%3"/>
      <w:lvlJc w:val="left"/>
      <w:pPr>
        <w:ind w:left="250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B8ACB9C">
      <w:start w:val="1"/>
      <w:numFmt w:val="decimal"/>
      <w:lvlText w:val="%4"/>
      <w:lvlJc w:val="left"/>
      <w:pPr>
        <w:ind w:left="322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B6E276F2">
      <w:start w:val="1"/>
      <w:numFmt w:val="lowerLetter"/>
      <w:lvlText w:val="%5"/>
      <w:lvlJc w:val="left"/>
      <w:pPr>
        <w:ind w:left="394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6E4385A">
      <w:start w:val="1"/>
      <w:numFmt w:val="lowerRoman"/>
      <w:lvlText w:val="%6"/>
      <w:lvlJc w:val="left"/>
      <w:pPr>
        <w:ind w:left="466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AB4B6BC">
      <w:start w:val="1"/>
      <w:numFmt w:val="decimal"/>
      <w:lvlText w:val="%7"/>
      <w:lvlJc w:val="left"/>
      <w:pPr>
        <w:ind w:left="53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F0CE9860">
      <w:start w:val="1"/>
      <w:numFmt w:val="lowerLetter"/>
      <w:lvlText w:val="%8"/>
      <w:lvlJc w:val="left"/>
      <w:pPr>
        <w:ind w:left="610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01E78D6">
      <w:start w:val="1"/>
      <w:numFmt w:val="lowerRoman"/>
      <w:lvlText w:val="%9"/>
      <w:lvlJc w:val="left"/>
      <w:pPr>
        <w:ind w:left="682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A325BE3"/>
    <w:multiLevelType w:val="hybridMultilevel"/>
    <w:tmpl w:val="DD2A52AC"/>
    <w:lvl w:ilvl="0" w:tplc="26446824">
      <w:start w:val="8"/>
      <w:numFmt w:val="decimal"/>
      <w:lvlText w:val="%1.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5ED2F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1C4F2F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99812F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1F65D6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5EA24F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D4548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8A6E1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44EF9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C86363"/>
    <w:multiLevelType w:val="hybridMultilevel"/>
    <w:tmpl w:val="3CD045AA"/>
    <w:lvl w:ilvl="0" w:tplc="0409000F">
      <w:start w:val="1"/>
      <w:numFmt w:val="decimal"/>
      <w:lvlText w:val="%1."/>
      <w:lvlJc w:val="left"/>
      <w:pPr>
        <w:ind w:left="3195" w:hanging="360"/>
      </w:pPr>
      <w:rPr>
        <w:b w:val="0"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77751581"/>
    <w:multiLevelType w:val="hybridMultilevel"/>
    <w:tmpl w:val="60A62644"/>
    <w:lvl w:ilvl="0" w:tplc="4C6C3B94">
      <w:start w:val="1"/>
      <w:numFmt w:val="bullet"/>
      <w:lvlText w:val="-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1584D440">
      <w:start w:val="1"/>
      <w:numFmt w:val="bullet"/>
      <w:lvlText w:val="o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A3E0956">
      <w:start w:val="1"/>
      <w:numFmt w:val="bullet"/>
      <w:lvlText w:val="▪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68EA676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B80F89A">
      <w:start w:val="1"/>
      <w:numFmt w:val="bullet"/>
      <w:lvlText w:val="o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AE05A6E">
      <w:start w:val="1"/>
      <w:numFmt w:val="bullet"/>
      <w:lvlText w:val="▪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F3C06EC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F9A28674">
      <w:start w:val="1"/>
      <w:numFmt w:val="bullet"/>
      <w:lvlText w:val="o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902C4C8E">
      <w:start w:val="1"/>
      <w:numFmt w:val="bullet"/>
      <w:lvlText w:val="▪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F633EBB"/>
    <w:multiLevelType w:val="hybridMultilevel"/>
    <w:tmpl w:val="9D2AD30A"/>
    <w:lvl w:ilvl="0" w:tplc="0409000F">
      <w:start w:val="1"/>
      <w:numFmt w:val="decimal"/>
      <w:lvlText w:val="%1."/>
      <w:lvlJc w:val="left"/>
      <w:pPr>
        <w:ind w:left="3195" w:hanging="360"/>
      </w:p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10"/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9"/>
  </w:num>
  <w:num w:numId="13">
    <w:abstractNumId w:val="17"/>
  </w:num>
  <w:num w:numId="14">
    <w:abstractNumId w:val="7"/>
  </w:num>
  <w:num w:numId="15">
    <w:abstractNumId w:val="2"/>
  </w:num>
  <w:num w:numId="16">
    <w:abstractNumId w:val="15"/>
  </w:num>
  <w:num w:numId="17">
    <w:abstractNumId w:val="11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8D"/>
    <w:rsid w:val="00007D86"/>
    <w:rsid w:val="00014442"/>
    <w:rsid w:val="00077D03"/>
    <w:rsid w:val="00106A36"/>
    <w:rsid w:val="001915A9"/>
    <w:rsid w:val="001C51EE"/>
    <w:rsid w:val="001C5552"/>
    <w:rsid w:val="001F5A41"/>
    <w:rsid w:val="00295027"/>
    <w:rsid w:val="00297F0F"/>
    <w:rsid w:val="00322781"/>
    <w:rsid w:val="003C73A2"/>
    <w:rsid w:val="00560B12"/>
    <w:rsid w:val="005837AB"/>
    <w:rsid w:val="005C48AB"/>
    <w:rsid w:val="005E5625"/>
    <w:rsid w:val="00611A36"/>
    <w:rsid w:val="006644E0"/>
    <w:rsid w:val="00666E05"/>
    <w:rsid w:val="006A3606"/>
    <w:rsid w:val="006B0F33"/>
    <w:rsid w:val="006E2508"/>
    <w:rsid w:val="0077798A"/>
    <w:rsid w:val="00921AC0"/>
    <w:rsid w:val="00984F24"/>
    <w:rsid w:val="009F1B6F"/>
    <w:rsid w:val="00A12CF5"/>
    <w:rsid w:val="00A2328D"/>
    <w:rsid w:val="00A3676D"/>
    <w:rsid w:val="00A53E39"/>
    <w:rsid w:val="00AA1848"/>
    <w:rsid w:val="00AF7326"/>
    <w:rsid w:val="00B43C96"/>
    <w:rsid w:val="00D03173"/>
    <w:rsid w:val="00D86B66"/>
    <w:rsid w:val="00D97163"/>
    <w:rsid w:val="00E14515"/>
    <w:rsid w:val="00EB1913"/>
    <w:rsid w:val="00EC3204"/>
    <w:rsid w:val="00F33729"/>
    <w:rsid w:val="00FA195A"/>
    <w:rsid w:val="00F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9496"/>
  <w15:chartTrackingRefBased/>
  <w15:docId w15:val="{D6134098-947C-4CD9-A3FE-6479D0D3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semiHidden/>
    <w:unhideWhenUsed/>
    <w:qFormat/>
    <w:rsid w:val="003C73A2"/>
    <w:pPr>
      <w:keepNext/>
      <w:keepLines/>
      <w:spacing w:after="4" w:line="268" w:lineRule="auto"/>
      <w:ind w:left="1942" w:hanging="10"/>
      <w:jc w:val="center"/>
      <w:outlineLvl w:val="2"/>
    </w:pPr>
    <w:rPr>
      <w:rFonts w:ascii="Arial" w:eastAsia="Arial" w:hAnsi="Arial" w:cs="Arial"/>
      <w:b/>
      <w:i/>
      <w:color w:val="00000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5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C73A2"/>
    <w:rPr>
      <w:rFonts w:ascii="Arial" w:eastAsia="Arial" w:hAnsi="Arial" w:cs="Arial"/>
      <w:b/>
      <w:i/>
      <w:color w:val="000000"/>
      <w:sz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55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666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3C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43C96"/>
  </w:style>
  <w:style w:type="paragraph" w:styleId="a7">
    <w:name w:val="footer"/>
    <w:basedOn w:val="a"/>
    <w:link w:val="a8"/>
    <w:uiPriority w:val="99"/>
    <w:unhideWhenUsed/>
    <w:rsid w:val="00B43C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43C96"/>
  </w:style>
  <w:style w:type="character" w:styleId="a9">
    <w:name w:val="Hyperlink"/>
    <w:basedOn w:val="a0"/>
    <w:uiPriority w:val="99"/>
    <w:unhideWhenUsed/>
    <w:rsid w:val="006A360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A3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158-2007-%D0%BF&#1089;&#108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0377-4B1D-41C3-8675-EB571A1E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47763</Words>
  <Characters>27225</Characters>
  <Application>Microsoft Office Word</Application>
  <DocSecurity>0</DocSecurity>
  <Lines>226</Lines>
  <Paragraphs>149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2</cp:lastModifiedBy>
  <cp:revision>2</cp:revision>
  <dcterms:created xsi:type="dcterms:W3CDTF">2024-05-27T08:01:00Z</dcterms:created>
  <dcterms:modified xsi:type="dcterms:W3CDTF">2024-05-27T08:01:00Z</dcterms:modified>
</cp:coreProperties>
</file>